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5B53" w:rsidR="00C42D18" w:rsidP="77533413" w:rsidRDefault="00C42D18" w14:paraId="6994E490" w14:textId="45B9BA98">
      <w:pPr>
        <w:pStyle w:val="Normal"/>
        <w:spacing w:before="0" w:beforeAutospacing="off" w:after="160" w:afterAutospacing="off" w:line="257" w:lineRule="auto"/>
        <w:rPr>
          <w:rFonts w:ascii="Calibri" w:hAnsi="Calibri" w:eastAsia="Calibri" w:cs="Calibri"/>
          <w:noProof w:val="0"/>
          <w:sz w:val="22"/>
          <w:szCs w:val="22"/>
          <w:lang w:val="ro"/>
        </w:rPr>
      </w:pPr>
      <w:r w:rsidRPr="77533413" w:rsidR="5D261797">
        <w:rPr>
          <w:rFonts w:ascii="Calibri" w:hAnsi="Calibri" w:eastAsia="Calibri" w:cs="Calibri"/>
          <w:b w:val="1"/>
          <w:bCs w:val="1"/>
          <w:noProof w:val="0"/>
          <w:sz w:val="22"/>
          <w:szCs w:val="22"/>
          <w:lang w:val="ro"/>
        </w:rPr>
        <w:t>Versiunea 31.10.2025</w:t>
      </w:r>
    </w:p>
    <w:p w:rsidRPr="00E65B53" w:rsidR="00C42D18" w:rsidP="2D2CBDB8" w:rsidRDefault="00C42D18" w14:paraId="50994349" w14:textId="196BD2A6">
      <w:pPr>
        <w:spacing w:before="0" w:beforeAutospacing="off" w:after="0" w:afterAutospacing="off"/>
        <w:rPr>
          <w:rFonts w:ascii="Calibri" w:hAnsi="Calibri" w:eastAsia="Calibri" w:cs="Calibri"/>
          <w:noProof w:val="0"/>
          <w:sz w:val="22"/>
          <w:szCs w:val="22"/>
          <w:lang w:val="ro"/>
        </w:rPr>
      </w:pPr>
    </w:p>
    <w:p w:rsidRPr="00E65B53" w:rsidR="00C42D18" w:rsidP="2D2CBDB8" w:rsidRDefault="00C42D18" w14:paraId="75B8453A" w14:textId="26511EAE">
      <w:pPr>
        <w:spacing w:before="0" w:beforeAutospacing="off" w:after="0" w:afterAutospacing="off"/>
      </w:pPr>
      <w:r w:rsidRPr="2D2CBDB8" w:rsidR="7CBEF999">
        <w:rPr>
          <w:rFonts w:ascii="Calibri" w:hAnsi="Calibri" w:eastAsia="Calibri" w:cs="Calibri"/>
          <w:noProof w:val="0"/>
          <w:sz w:val="22"/>
          <w:szCs w:val="22"/>
          <w:lang w:val="ro"/>
        </w:rPr>
        <w:t xml:space="preserve"> </w:t>
      </w:r>
    </w:p>
    <w:p w:rsidRPr="00E65B53" w:rsidR="00C42D18" w:rsidP="2D2CBDB8" w:rsidRDefault="00C42D18" w14:paraId="6B5C26BD" w14:textId="267044B9">
      <w:pPr>
        <w:pStyle w:val="Heading1"/>
        <w:spacing w:before="0" w:beforeAutospacing="off" w:after="0" w:afterAutospacing="off"/>
        <w:jc w:val="center"/>
      </w:pPr>
      <w:r w:rsidRPr="2D2CBDB8" w:rsidR="7CBEF999">
        <w:rPr>
          <w:rFonts w:ascii="Calibri Light" w:hAnsi="Calibri Light" w:eastAsia="Calibri Light" w:cs="Calibri Light"/>
          <w:b w:val="1"/>
          <w:bCs w:val="1"/>
          <w:noProof w:val="0"/>
          <w:color w:val="2E74B5" w:themeColor="accent1" w:themeTint="FF" w:themeShade="BF"/>
          <w:sz w:val="28"/>
          <w:szCs w:val="28"/>
          <w:lang w:val="ro-RO"/>
        </w:rPr>
        <w:t>METODOLOGIE DE SELECȚIE A GRUPULUI ȚINTĂ</w:t>
      </w:r>
    </w:p>
    <w:p w:rsidRPr="00E65B53" w:rsidR="00C42D18" w:rsidP="2D2CBDB8" w:rsidRDefault="00C42D18" w14:paraId="0DCDD066" w14:textId="1D8D3CD0">
      <w:pPr>
        <w:spacing w:before="0" w:beforeAutospacing="off" w:after="0" w:afterAutospacing="off"/>
        <w:jc w:val="center"/>
      </w:pPr>
      <w:r w:rsidRPr="2D2CBDB8" w:rsidR="7CBEF999">
        <w:rPr>
          <w:rFonts w:ascii="Calibri" w:hAnsi="Calibri" w:eastAsia="Calibri" w:cs="Calibri"/>
          <w:noProof w:val="0"/>
          <w:sz w:val="22"/>
          <w:szCs w:val="22"/>
          <w:lang w:val="ro"/>
        </w:rPr>
        <w:t xml:space="preserve">în cadrul proiectului </w:t>
      </w:r>
      <w:r w:rsidRPr="2D2CBDB8" w:rsidR="7CBEF999">
        <w:rPr>
          <w:rFonts w:ascii="Trebuchet MS" w:hAnsi="Trebuchet MS" w:eastAsia="Trebuchet MS" w:cs="Trebuchet MS"/>
          <w:noProof w:val="0"/>
          <w:sz w:val="20"/>
          <w:szCs w:val="20"/>
          <w:lang w:val="ro"/>
        </w:rPr>
        <w:t>“</w:t>
      </w:r>
      <w:r w:rsidRPr="2D2CBDB8" w:rsidR="7CBEF999">
        <w:rPr>
          <w:rFonts w:ascii="Trebuchet MS" w:hAnsi="Trebuchet MS" w:eastAsia="Trebuchet MS" w:cs="Trebuchet MS"/>
          <w:b w:val="1"/>
          <w:bCs w:val="1"/>
          <w:noProof w:val="0"/>
          <w:sz w:val="20"/>
          <w:szCs w:val="20"/>
          <w:lang w:val="ro"/>
        </w:rPr>
        <w:t>The future is circular! Studenți pregătiți pentru un viitor verde”</w:t>
      </w:r>
    </w:p>
    <w:p w:rsidRPr="00E65B53" w:rsidR="00C42D18" w:rsidP="2D2CBDB8" w:rsidRDefault="00C42D18" w14:paraId="466B17FD" w14:textId="562417F0">
      <w:pPr>
        <w:spacing w:before="0" w:beforeAutospacing="off" w:after="0" w:afterAutospacing="off"/>
        <w:jc w:val="center"/>
      </w:pPr>
      <w:r w:rsidRPr="2D2CBDB8" w:rsidR="7CBEF999">
        <w:rPr>
          <w:rFonts w:ascii="Calibri" w:hAnsi="Calibri" w:eastAsia="Calibri" w:cs="Calibri"/>
          <w:b w:val="1"/>
          <w:bCs w:val="1"/>
          <w:noProof w:val="0"/>
          <w:sz w:val="22"/>
          <w:szCs w:val="22"/>
          <w:lang w:val="ro"/>
        </w:rPr>
        <w:t>Cod proiect 304252</w:t>
      </w:r>
    </w:p>
    <w:p w:rsidRPr="00E65B53" w:rsidR="00C42D18" w:rsidP="2D2CBDB8" w:rsidRDefault="00C42D18" w14:paraId="722578CC" w14:textId="674FC81D">
      <w:pPr>
        <w:spacing w:before="0" w:beforeAutospacing="off" w:after="0" w:afterAutospacing="off"/>
        <w:jc w:val="center"/>
      </w:pPr>
      <w:r w:rsidRPr="2D2CBDB8" w:rsidR="7CBEF999">
        <w:rPr>
          <w:rFonts w:ascii="Calibri" w:hAnsi="Calibri" w:eastAsia="Calibri" w:cs="Calibri"/>
          <w:noProof w:val="0"/>
          <w:sz w:val="22"/>
          <w:szCs w:val="22"/>
          <w:lang w:val="ro"/>
        </w:rPr>
        <w:t xml:space="preserve"> </w:t>
      </w:r>
    </w:p>
    <w:p w:rsidRPr="00E65B53" w:rsidR="00C42D18" w:rsidP="2D2CBDB8" w:rsidRDefault="00C42D18" w14:paraId="38366106" w14:textId="17F3A9DF">
      <w:pPr>
        <w:spacing w:before="0" w:beforeAutospacing="off" w:after="0" w:afterAutospacing="off"/>
      </w:pPr>
      <w:r w:rsidRPr="2D2CBDB8" w:rsidR="7CBEF999">
        <w:rPr>
          <w:rFonts w:ascii="Calibri" w:hAnsi="Calibri" w:eastAsia="Calibri" w:cs="Calibri"/>
          <w:noProof w:val="0"/>
          <w:sz w:val="22"/>
          <w:szCs w:val="22"/>
          <w:lang w:val="ro"/>
        </w:rPr>
        <w:t xml:space="preserve"> </w:t>
      </w:r>
    </w:p>
    <w:p w:rsidRPr="00E65B53" w:rsidR="00C42D18" w:rsidP="77533413" w:rsidRDefault="00C42D18" w14:paraId="34DE17B3" w14:noSpellErr="1" w14:textId="6F1A5105">
      <w:pPr>
        <w:spacing w:before="0" w:beforeAutospacing="off" w:after="0" w:afterAutospacing="off"/>
        <w:rPr>
          <w:rFonts w:ascii="Calibri" w:hAnsi="Calibri" w:eastAsia="Calibri" w:cs="Calibri"/>
          <w:noProof w:val="0"/>
          <w:sz w:val="22"/>
          <w:szCs w:val="22"/>
          <w:lang w:val="ro"/>
        </w:rPr>
      </w:pPr>
      <w:r w:rsidRPr="77533413" w:rsidR="7CBEF999">
        <w:rPr>
          <w:rFonts w:ascii="Calibri" w:hAnsi="Calibri" w:eastAsia="Calibri" w:cs="Calibri"/>
          <w:noProof w:val="0"/>
          <w:sz w:val="22"/>
          <w:szCs w:val="22"/>
          <w:lang w:val="ro"/>
        </w:rPr>
        <w:t xml:space="preserve"> </w:t>
      </w:r>
    </w:p>
    <w:p w:rsidR="02818B17" w:rsidP="77533413" w:rsidRDefault="02818B17" w14:paraId="6B2D9714" w14:noSpellErr="1" w14:textId="4C424FE1">
      <w:pPr>
        <w:pStyle w:val="Heading2"/>
        <w:spacing w:before="0" w:beforeAutospacing="off" w:after="0" w:afterAutospacing="off"/>
      </w:pPr>
      <w:r w:rsidRPr="76057EF8" w:rsidR="02818B17">
        <w:rPr>
          <w:rFonts w:ascii="Calibri Light" w:hAnsi="Calibri Light" w:eastAsia="Calibri Light" w:cs="Calibri Light"/>
          <w:b w:val="1"/>
          <w:bCs w:val="1"/>
          <w:noProof w:val="0"/>
          <w:color w:val="5B9AD5"/>
          <w:sz w:val="26"/>
          <w:szCs w:val="26"/>
          <w:lang w:val="ro-RO"/>
        </w:rPr>
        <w:t>1. Dispoziții generale</w:t>
      </w:r>
      <w:r w:rsidRPr="76057EF8" w:rsidR="53593B64">
        <w:rPr>
          <w:rFonts w:ascii="Calibri Light" w:hAnsi="Calibri Light" w:eastAsia="Calibri Light" w:cs="Calibri Light"/>
          <w:b w:val="1"/>
          <w:bCs w:val="1"/>
          <w:noProof w:val="0"/>
          <w:color w:val="5B9AD5"/>
          <w:sz w:val="26"/>
          <w:szCs w:val="26"/>
          <w:lang w:val="ro-RO"/>
        </w:rPr>
        <w:t>c</w:t>
      </w:r>
    </w:p>
    <w:p w:rsidR="02818B17" w:rsidP="77533413" w:rsidRDefault="02818B17" w14:paraId="0AC83D49" w14:textId="0F8C9858">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46C42D62" w14:textId="38F2A6B2">
      <w:pPr>
        <w:spacing w:before="0" w:beforeAutospacing="off" w:after="0" w:afterAutospacing="off"/>
        <w:jc w:val="both"/>
      </w:pPr>
      <w:r w:rsidRPr="77533413" w:rsidR="02818B17">
        <w:rPr>
          <w:rFonts w:ascii="Calibri" w:hAnsi="Calibri" w:eastAsia="Calibri" w:cs="Calibri"/>
          <w:noProof w:val="0"/>
          <w:sz w:val="22"/>
          <w:szCs w:val="22"/>
          <w:lang w:val="ro"/>
        </w:rPr>
        <w:t xml:space="preserve">1.1 Prezenta metodologie stabilește cadrul procedural pentru selecția grupului țintă (GT) al proiectului „The future is circular! Studenți pregătiți pentru un viitor verde”, finanțat prin „Programul Educație și Ocupare“, Prioritatea P07, Obiectiv specific ESO4.5, Apelul „Promovarea dezvoltării programelor de studii terțiare de înaltă calitate, flexibile și corelate cu cerințele pieței muncii - STAGII STUDENȚI“, implementat de Universitatea Babeș-Bolyai din Cluj-Napoca (UBB), în calitate de Beneficiar. </w:t>
      </w:r>
    </w:p>
    <w:p w:rsidR="02818B17" w:rsidP="77533413" w:rsidRDefault="02818B17" w14:paraId="6235C78A" w14:textId="0F55309E">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002809FF" w14:textId="69A4720D">
      <w:pPr>
        <w:spacing w:before="0" w:beforeAutospacing="off" w:after="0" w:afterAutospacing="off"/>
        <w:jc w:val="both"/>
      </w:pPr>
      <w:r w:rsidRPr="77533413" w:rsidR="02818B17">
        <w:rPr>
          <w:rFonts w:ascii="Calibri" w:hAnsi="Calibri" w:eastAsia="Calibri" w:cs="Calibri"/>
          <w:noProof w:val="0"/>
          <w:sz w:val="22"/>
          <w:szCs w:val="22"/>
          <w:lang w:val="ro"/>
        </w:rPr>
        <w:t xml:space="preserve">1.2 Prezenta metodologie este întocmită pentru atingerea și respectarea indicatorilor cantitativi și calitativi prevăzuți în Cererea de Finanțare (CF) a proiectului. </w:t>
      </w:r>
    </w:p>
    <w:p w:rsidR="02818B17" w:rsidP="77533413" w:rsidRDefault="02818B17" w14:paraId="35B0E7B8" w14:textId="0021C93A">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119CC54D" w14:textId="53E81AEE">
      <w:pPr>
        <w:spacing w:before="0" w:beforeAutospacing="off" w:after="0" w:afterAutospacing="off"/>
        <w:jc w:val="both"/>
      </w:pPr>
      <w:r w:rsidRPr="77533413" w:rsidR="02818B17">
        <w:rPr>
          <w:rFonts w:ascii="Calibri" w:hAnsi="Calibri" w:eastAsia="Calibri" w:cs="Calibri"/>
          <w:noProof w:val="0"/>
          <w:sz w:val="22"/>
          <w:szCs w:val="22"/>
          <w:lang w:val="ro"/>
        </w:rPr>
        <w:t xml:space="preserve">1.3 Prezenta metodologie prevede acțiuni pentru selecția, recrutarea și înregistrarea grupului țintă cu respectarea următoarelor principii: egalitate de șanse și tratament egal, nediscriminare pe considerente de sex, origine rasială sau etnică, religie sau convingeri, dizabilități, vârstă sau orientare sexuală, cât și pe principiile dezvoltării durabile, digitalizării, economiei circulare și transparenței administrative. </w:t>
      </w:r>
    </w:p>
    <w:p w:rsidR="02818B17" w:rsidP="77533413" w:rsidRDefault="02818B17" w14:paraId="0C84211A" w14:textId="715D998A">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50B54406" w14:textId="28F50ED0">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2. Obiectivul selecției</w:t>
      </w:r>
    </w:p>
    <w:p w:rsidR="02818B17" w:rsidP="77533413" w:rsidRDefault="02818B17" w14:paraId="7DC15CF9" w14:textId="0251694D">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6E393F6A" w14:textId="4A60BF49">
      <w:pPr>
        <w:spacing w:before="0" w:beforeAutospacing="off" w:after="0" w:afterAutospacing="off"/>
        <w:jc w:val="both"/>
      </w:pPr>
      <w:r w:rsidRPr="77533413" w:rsidR="02818B17">
        <w:rPr>
          <w:rFonts w:ascii="Calibri" w:hAnsi="Calibri" w:eastAsia="Calibri" w:cs="Calibri"/>
          <w:noProof w:val="0"/>
          <w:sz w:val="22"/>
          <w:szCs w:val="22"/>
          <w:lang w:val="ro"/>
        </w:rPr>
        <w:t xml:space="preserve">2.1 Scopul selecției este identificarea și includerea în în grupul țintă a studenților eligibili care vor beneficia de activități de practică, consiliere și formare profesională, cu scopul creșterii ratei de participare la programele de învățare la locul de muncă centrat pe dezvoltarea de competențe profesionale și transversale cerute pe piața muncii. </w:t>
      </w:r>
    </w:p>
    <w:p w:rsidR="02818B17" w:rsidP="77533413" w:rsidRDefault="02818B17" w14:paraId="3FA7C9FF" w14:textId="4F93B755">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33E53EB3" w14:textId="7D642671">
      <w:pPr>
        <w:spacing w:before="0" w:beforeAutospacing="off" w:after="0" w:afterAutospacing="off"/>
        <w:jc w:val="both"/>
      </w:pPr>
      <w:r w:rsidRPr="77533413" w:rsidR="02818B17">
        <w:rPr>
          <w:rFonts w:ascii="Calibri" w:hAnsi="Calibri" w:eastAsia="Calibri" w:cs="Calibri"/>
          <w:noProof w:val="0"/>
          <w:sz w:val="22"/>
          <w:szCs w:val="22"/>
          <w:lang w:val="ro"/>
        </w:rPr>
        <w:t>2.2 Obiectivul general al proiectului este reprezentat de îmbunătățirea nivelului de educație și facilitarea inserției pe piața muncii a 280 studenți la una din cele 8 facultăți ale Universității Babeș-Bolyai aparținând Școlii de arte și științe umaniste, ca urmare a participării la stagii de practică la angajatori competitivi în domeniul în care studiază cât și a participarii la programele de dezvoltare a competențelor transversale specifice în domeniul artelor și al științelor umaniste.</w:t>
      </w:r>
    </w:p>
    <w:p w:rsidR="02818B17" w:rsidP="77533413" w:rsidRDefault="02818B17" w14:paraId="3B76F3E9" w14:textId="514C804A">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56B38385" w14:textId="61A46B61">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3. Criterii de eligibilitate a studenților</w:t>
      </w:r>
    </w:p>
    <w:p w:rsidR="02818B17" w:rsidP="77533413" w:rsidRDefault="02818B17" w14:paraId="27B0B96F" w14:textId="63FE85F7">
      <w:pPr>
        <w:spacing w:before="0" w:beforeAutospacing="off" w:after="0" w:afterAutospacing="off"/>
        <w:jc w:val="both"/>
      </w:pPr>
      <w:r w:rsidRPr="77533413" w:rsidR="02818B17">
        <w:rPr>
          <w:rFonts w:ascii="Calibri" w:hAnsi="Calibri" w:eastAsia="Calibri" w:cs="Calibri"/>
          <w:noProof w:val="0"/>
          <w:sz w:val="22"/>
          <w:szCs w:val="22"/>
          <w:lang w:val="ro-RO"/>
        </w:rPr>
        <w:t xml:space="preserve"> </w:t>
      </w:r>
    </w:p>
    <w:p w:rsidR="02818B17" w:rsidP="77533413" w:rsidRDefault="02818B17" w14:paraId="5B9DE527" w14:textId="5103ABF4">
      <w:pPr>
        <w:spacing w:before="0" w:beforeAutospacing="off" w:after="0" w:afterAutospacing="off"/>
        <w:jc w:val="both"/>
      </w:pPr>
      <w:r w:rsidRPr="77533413" w:rsidR="02818B17">
        <w:rPr>
          <w:rFonts w:ascii="Calibri" w:hAnsi="Calibri" w:eastAsia="Calibri" w:cs="Calibri"/>
          <w:noProof w:val="0"/>
          <w:sz w:val="22"/>
          <w:szCs w:val="22"/>
          <w:lang w:val="ro-RO"/>
        </w:rPr>
        <w:t>3.1 Se pot înscrie în cadrul Grupului Țintă (GT) al proiectului „The Future Is Circular! Studenți pregătiți pentru un viitor verde”, cod 304252, persoanele care îndeplinesc condițiile de eligibilitate conform Cererii de finanțare (CF) și Ghidului solicitantului Condiții specifice „Promovarea dezvoltării programelor de studii terțiare de înaltă calitate, flexibile și corelate cu cerințele pieței muncii - STAGII STUDENȚI“ și care sunt cuprinse în prezenta Metodologie de Selecție a Grupului Țintă (MSGT).</w:t>
      </w:r>
    </w:p>
    <w:p w:rsidR="02818B17" w:rsidP="77533413" w:rsidRDefault="02818B17" w14:paraId="494ADD7C" w14:textId="5FF10CCE">
      <w:pPr>
        <w:spacing w:before="0" w:beforeAutospacing="off" w:after="0" w:afterAutospacing="off"/>
        <w:jc w:val="both"/>
      </w:pPr>
      <w:r w:rsidRPr="77533413" w:rsidR="02818B17">
        <w:rPr>
          <w:rFonts w:ascii="Calibri" w:hAnsi="Calibri" w:eastAsia="Calibri" w:cs="Calibri"/>
          <w:noProof w:val="0"/>
          <w:sz w:val="22"/>
          <w:szCs w:val="22"/>
          <w:lang w:val="ro-RO"/>
        </w:rPr>
        <w:t xml:space="preserve"> </w:t>
      </w:r>
    </w:p>
    <w:p w:rsidR="02818B17" w:rsidP="77533413" w:rsidRDefault="02818B17" w14:paraId="5664C1D7" w14:textId="12FC9271">
      <w:pPr>
        <w:spacing w:before="0" w:beforeAutospacing="off" w:after="0" w:afterAutospacing="off"/>
        <w:jc w:val="both"/>
      </w:pPr>
      <w:r w:rsidRPr="77533413" w:rsidR="02818B17">
        <w:rPr>
          <w:rFonts w:ascii="Calibri" w:hAnsi="Calibri" w:eastAsia="Calibri" w:cs="Calibri"/>
          <w:noProof w:val="0"/>
          <w:sz w:val="22"/>
          <w:szCs w:val="22"/>
          <w:lang w:val="ro-RO"/>
        </w:rPr>
        <w:t xml:space="preserve">3.2 Prezentul proiect se adresează studenților care fac parte din Școala academică de arte și științe umaniste a Universității Babeș-Bolyai (UBB), respectiv studenții înmatriculați la una din următoarele facultăți: </w:t>
      </w:r>
    </w:p>
    <w:p w:rsidR="02818B17" w:rsidP="77533413" w:rsidRDefault="02818B17" w14:paraId="7C50AC2E" w14:textId="4F7048D2">
      <w:pPr>
        <w:pStyle w:val="ListParagraph"/>
        <w:numPr>
          <w:ilvl w:val="0"/>
          <w:numId w:val="8"/>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Facultatea de Litere (FL), </w:t>
      </w:r>
    </w:p>
    <w:p w:rsidR="02818B17" w:rsidP="77533413" w:rsidRDefault="02818B17" w14:paraId="2AF1F0EE" w14:textId="2511B7B5">
      <w:pPr>
        <w:pStyle w:val="ListParagraph"/>
        <w:numPr>
          <w:ilvl w:val="0"/>
          <w:numId w:val="8"/>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                Facultatea de Drept (FD), </w:t>
      </w:r>
    </w:p>
    <w:p w:rsidR="02818B17" w:rsidP="77533413" w:rsidRDefault="02818B17" w14:paraId="2C3A6E8F" w14:textId="65CEFADF">
      <w:pPr>
        <w:pStyle w:val="ListParagraph"/>
        <w:numPr>
          <w:ilvl w:val="0"/>
          <w:numId w:val="8"/>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                Facultatea de Istorie și Filosofie (FIF), </w:t>
      </w:r>
    </w:p>
    <w:p w:rsidR="02818B17" w:rsidP="77533413" w:rsidRDefault="02818B17" w14:paraId="502D9C24" w14:textId="3CBAAFE6">
      <w:pPr>
        <w:pStyle w:val="ListParagraph"/>
        <w:numPr>
          <w:ilvl w:val="0"/>
          <w:numId w:val="8"/>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                Facultatea de Teatru și Film (FTF), </w:t>
      </w:r>
    </w:p>
    <w:p w:rsidR="02818B17" w:rsidP="77533413" w:rsidRDefault="02818B17" w14:paraId="767CAF66" w14:textId="25C6DB4D">
      <w:pPr>
        <w:pStyle w:val="ListParagraph"/>
        <w:numPr>
          <w:ilvl w:val="0"/>
          <w:numId w:val="8"/>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                Facultatea de Teologie Ortodoxă (FTO), </w:t>
      </w:r>
    </w:p>
    <w:p w:rsidR="02818B17" w:rsidP="77533413" w:rsidRDefault="02818B17" w14:paraId="092059CE" w14:textId="48B60E0B">
      <w:pPr>
        <w:pStyle w:val="ListParagraph"/>
        <w:numPr>
          <w:ilvl w:val="0"/>
          <w:numId w:val="8"/>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                Facultatea de Teologie Greco-Catolică (FTGC), </w:t>
      </w:r>
    </w:p>
    <w:p w:rsidR="02818B17" w:rsidP="77533413" w:rsidRDefault="02818B17" w14:paraId="4C94471E" w14:textId="4D2FBB1B">
      <w:pPr>
        <w:pStyle w:val="ListParagraph"/>
        <w:numPr>
          <w:ilvl w:val="0"/>
          <w:numId w:val="8"/>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                Facultatea de Teologie Reformată și Muzică (FTRM) </w:t>
      </w:r>
    </w:p>
    <w:p w:rsidR="02818B17" w:rsidP="77533413" w:rsidRDefault="02818B17" w14:paraId="177C8FB5" w14:textId="12C674B6">
      <w:pPr>
        <w:pStyle w:val="ListParagraph"/>
        <w:numPr>
          <w:ilvl w:val="0"/>
          <w:numId w:val="8"/>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                Facultatea de Teologie Romano-Catolică (FTRC).</w:t>
      </w:r>
    </w:p>
    <w:p w:rsidR="02818B17" w:rsidP="77533413" w:rsidRDefault="02818B17" w14:paraId="361A41E1" w14:textId="42CA3CC8">
      <w:pPr>
        <w:spacing w:before="0" w:beforeAutospacing="off" w:after="0" w:afterAutospacing="off"/>
        <w:ind w:left="720" w:right="0"/>
        <w:jc w:val="both"/>
      </w:pPr>
      <w:r w:rsidRPr="77533413" w:rsidR="02818B17">
        <w:rPr>
          <w:rFonts w:ascii="Calibri" w:hAnsi="Calibri" w:eastAsia="Calibri" w:cs="Calibri"/>
          <w:noProof w:val="0"/>
          <w:sz w:val="20"/>
          <w:szCs w:val="20"/>
          <w:lang w:val="ro-RO"/>
        </w:rPr>
        <w:t xml:space="preserve"> </w:t>
      </w:r>
    </w:p>
    <w:p w:rsidR="02818B17" w:rsidP="77533413" w:rsidRDefault="02818B17" w14:paraId="6FA0C3A1" w14:textId="7582B8C4">
      <w:pPr>
        <w:spacing w:before="0" w:beforeAutospacing="off" w:after="0" w:afterAutospacing="off"/>
        <w:jc w:val="both"/>
      </w:pPr>
      <w:r w:rsidRPr="77533413" w:rsidR="02818B17">
        <w:rPr>
          <w:rFonts w:ascii="Calibri" w:hAnsi="Calibri" w:eastAsia="Calibri" w:cs="Calibri"/>
          <w:noProof w:val="0"/>
          <w:sz w:val="22"/>
          <w:szCs w:val="22"/>
          <w:lang w:val="ro"/>
        </w:rPr>
        <w:t xml:space="preserve">3.3 Pentru a putea fi selectați, studenții trebuie să îndeplinească </w:t>
      </w:r>
      <w:r w:rsidRPr="77533413" w:rsidR="02818B17">
        <w:rPr>
          <w:rFonts w:ascii="Calibri" w:hAnsi="Calibri" w:eastAsia="Calibri" w:cs="Calibri"/>
          <w:b w:val="1"/>
          <w:bCs w:val="1"/>
          <w:noProof w:val="0"/>
          <w:sz w:val="22"/>
          <w:szCs w:val="22"/>
          <w:lang w:val="ro"/>
        </w:rPr>
        <w:t>cumulativ</w:t>
      </w:r>
      <w:r w:rsidRPr="77533413" w:rsidR="02818B17">
        <w:rPr>
          <w:rFonts w:ascii="Calibri" w:hAnsi="Calibri" w:eastAsia="Calibri" w:cs="Calibri"/>
          <w:noProof w:val="0"/>
          <w:sz w:val="22"/>
          <w:szCs w:val="22"/>
          <w:lang w:val="ro"/>
        </w:rPr>
        <w:t xml:space="preserve"> următoarele condiții (la data intrării în operațiune):</w:t>
      </w:r>
      <w:r>
        <w:br/>
      </w:r>
      <w:r w:rsidRPr="77533413" w:rsidR="02818B17">
        <w:rPr>
          <w:rFonts w:ascii="Calibri" w:hAnsi="Calibri" w:eastAsia="Calibri" w:cs="Calibri"/>
          <w:noProof w:val="0"/>
          <w:sz w:val="22"/>
          <w:szCs w:val="22"/>
          <w:lang w:val="ro"/>
        </w:rPr>
        <w:t xml:space="preserve"> •</w:t>
      </w:r>
      <w:r>
        <w:tab/>
      </w:r>
      <w:r w:rsidRPr="77533413" w:rsidR="02818B17">
        <w:rPr>
          <w:rFonts w:ascii="Calibri" w:hAnsi="Calibri" w:eastAsia="Calibri" w:cs="Calibri"/>
          <w:noProof w:val="0"/>
          <w:sz w:val="22"/>
          <w:szCs w:val="22"/>
          <w:lang w:val="ro"/>
        </w:rPr>
        <w:t>să fie înmatriculați într-un program de nivel ISCED 6-8 la una din facultățile aparținând Școlii academice de arte și științe umaniste ale UBB;</w:t>
      </w:r>
    </w:p>
    <w:p w:rsidR="02818B17" w:rsidP="77533413" w:rsidRDefault="02818B17" w14:paraId="5B07EC77" w14:textId="3CADC4D6">
      <w:pPr>
        <w:spacing w:before="0" w:beforeAutospacing="off" w:after="0" w:afterAutospacing="off"/>
        <w:jc w:val="both"/>
      </w:pPr>
      <w:r w:rsidRPr="77533413" w:rsidR="02818B17">
        <w:rPr>
          <w:rFonts w:ascii="Calibri" w:hAnsi="Calibri" w:eastAsia="Calibri" w:cs="Calibri"/>
          <w:noProof w:val="0"/>
          <w:sz w:val="22"/>
          <w:szCs w:val="22"/>
          <w:lang w:val="ro"/>
        </w:rPr>
        <w:t>•</w:t>
      </w:r>
      <w:r>
        <w:tab/>
      </w:r>
      <w:r w:rsidRPr="77533413" w:rsidR="02818B17">
        <w:rPr>
          <w:rFonts w:ascii="Calibri" w:hAnsi="Calibri" w:eastAsia="Calibri" w:cs="Calibri"/>
          <w:noProof w:val="0"/>
          <w:sz w:val="22"/>
          <w:szCs w:val="22"/>
          <w:lang w:val="ro"/>
        </w:rPr>
        <w:t>să aibă vârsta cuprinsă între 18 și 35 ani;</w:t>
      </w:r>
    </w:p>
    <w:p w:rsidR="02818B17" w:rsidP="77533413" w:rsidRDefault="02818B17" w14:paraId="1CAACE5C" w14:textId="0765CA43">
      <w:pPr>
        <w:spacing w:before="0" w:beforeAutospacing="off" w:after="0" w:afterAutospacing="off"/>
        <w:jc w:val="both"/>
      </w:pPr>
      <w:r w:rsidRPr="77533413" w:rsidR="02818B17">
        <w:rPr>
          <w:rFonts w:ascii="Calibri" w:hAnsi="Calibri" w:eastAsia="Calibri" w:cs="Calibri"/>
          <w:noProof w:val="0"/>
          <w:sz w:val="22"/>
          <w:szCs w:val="22"/>
          <w:lang w:val="ro"/>
        </w:rPr>
        <w:t>•</w:t>
      </w:r>
      <w:r>
        <w:tab/>
      </w:r>
      <w:r w:rsidRPr="77533413" w:rsidR="02818B17">
        <w:rPr>
          <w:rFonts w:ascii="Calibri" w:hAnsi="Calibri" w:eastAsia="Calibri" w:cs="Calibri"/>
          <w:noProof w:val="0"/>
          <w:sz w:val="22"/>
          <w:szCs w:val="22"/>
          <w:lang w:val="ro"/>
        </w:rPr>
        <w:t>să fie cetățeni români cu domiciliul sau reședința în una din regiunile mai puțin dezvoltate ale României (toate județele, mai puțin București și Ilfov);</w:t>
      </w:r>
    </w:p>
    <w:p w:rsidR="02818B17" w:rsidP="77533413" w:rsidRDefault="02818B17" w14:paraId="41CC6A82" w14:textId="180303D7">
      <w:pPr>
        <w:spacing w:before="0" w:beforeAutospacing="off" w:after="0" w:afterAutospacing="off"/>
        <w:jc w:val="both"/>
      </w:pPr>
      <w:r w:rsidRPr="77533413" w:rsidR="02818B17">
        <w:rPr>
          <w:rFonts w:ascii="Calibri" w:hAnsi="Calibri" w:eastAsia="Calibri" w:cs="Calibri"/>
          <w:noProof w:val="0"/>
          <w:sz w:val="22"/>
          <w:szCs w:val="22"/>
          <w:lang w:val="ro"/>
        </w:rPr>
        <w:t>•</w:t>
      </w:r>
      <w:r>
        <w:tab/>
      </w:r>
      <w:r w:rsidRPr="77533413" w:rsidR="02818B17">
        <w:rPr>
          <w:rFonts w:ascii="Calibri" w:hAnsi="Calibri" w:eastAsia="Calibri" w:cs="Calibri"/>
          <w:noProof w:val="0"/>
          <w:sz w:val="22"/>
          <w:szCs w:val="22"/>
          <w:lang w:val="ro"/>
        </w:rPr>
        <w:t xml:space="preserve">să aibă prevăzută disciplina de practică în planul de învățământ al programului de studii universitare de licență/master la care este înmatriculat; </w:t>
      </w:r>
    </w:p>
    <w:p w:rsidR="02818B17" w:rsidP="77533413" w:rsidRDefault="02818B17" w14:paraId="45348EAF" w14:textId="5E0241B5">
      <w:pPr>
        <w:spacing w:before="0" w:beforeAutospacing="off" w:after="0" w:afterAutospacing="off"/>
        <w:jc w:val="both"/>
      </w:pPr>
      <w:r w:rsidRPr="77533413" w:rsidR="02818B17">
        <w:rPr>
          <w:rFonts w:ascii="Calibri" w:hAnsi="Calibri" w:eastAsia="Calibri" w:cs="Calibri"/>
          <w:noProof w:val="0"/>
          <w:sz w:val="22"/>
          <w:szCs w:val="22"/>
          <w:lang w:val="ro"/>
        </w:rPr>
        <w:t>•</w:t>
      </w:r>
      <w:r>
        <w:tab/>
      </w:r>
      <w:r w:rsidRPr="77533413" w:rsidR="02818B17">
        <w:rPr>
          <w:rFonts w:ascii="Calibri" w:hAnsi="Calibri" w:eastAsia="Calibri" w:cs="Calibri"/>
          <w:noProof w:val="0"/>
          <w:sz w:val="22"/>
          <w:szCs w:val="22"/>
          <w:lang w:val="ro"/>
        </w:rPr>
        <w:t>să nu fi beneficiat de activități vizând: derularea de stagii de practică, dezvoltarea de competențe antreprenoriale în științele umaniste, dezvoltarea de competențe de dezvoltare durabilă în științele umaniste, dezvoltarea de competențe digitale în științele umaniste, dezvoltarea de competențe socio-emoționale, derulate prin intermediul altor proiecte/finanțări POSDRU, POCU, etc.;</w:t>
      </w:r>
    </w:p>
    <w:p w:rsidR="02818B17" w:rsidP="77533413" w:rsidRDefault="02818B17" w14:paraId="06D7930E" w14:textId="11DB8FD3">
      <w:pPr>
        <w:spacing w:before="0" w:beforeAutospacing="off" w:after="0" w:afterAutospacing="off"/>
        <w:jc w:val="both"/>
      </w:pPr>
      <w:r w:rsidRPr="77533413" w:rsidR="02818B17">
        <w:rPr>
          <w:rFonts w:ascii="Calibri" w:hAnsi="Calibri" w:eastAsia="Calibri" w:cs="Calibri"/>
          <w:noProof w:val="0"/>
          <w:sz w:val="22"/>
          <w:szCs w:val="22"/>
          <w:lang w:val="ro"/>
        </w:rPr>
        <w:t>•</w:t>
      </w:r>
      <w:r>
        <w:tab/>
      </w:r>
      <w:r w:rsidRPr="77533413" w:rsidR="02818B17">
        <w:rPr>
          <w:rFonts w:ascii="Calibri" w:hAnsi="Calibri" w:eastAsia="Calibri" w:cs="Calibri"/>
          <w:noProof w:val="0"/>
          <w:sz w:val="22"/>
          <w:szCs w:val="22"/>
          <w:lang w:val="ro"/>
        </w:rPr>
        <w:t>să nu fie înscriși și să nu facă parte din grupul țintă al unui alt proiect din cadrul aceluiași apel de finanțare;</w:t>
      </w:r>
    </w:p>
    <w:p w:rsidR="02818B17" w:rsidP="77533413" w:rsidRDefault="02818B17" w14:paraId="16AD1555" w14:textId="3F6D18E5">
      <w:pPr>
        <w:spacing w:before="0" w:beforeAutospacing="off" w:after="0" w:afterAutospacing="off"/>
        <w:jc w:val="both"/>
      </w:pPr>
      <w:r w:rsidRPr="77533413" w:rsidR="02818B17">
        <w:rPr>
          <w:rFonts w:ascii="Calibri" w:hAnsi="Calibri" w:eastAsia="Calibri" w:cs="Calibri"/>
          <w:noProof w:val="0"/>
          <w:sz w:val="22"/>
          <w:szCs w:val="22"/>
          <w:lang w:val="ro"/>
        </w:rPr>
        <w:t>•            să prezinte documentele justificative prevăzute la Secțiunea 5.</w:t>
      </w:r>
    </w:p>
    <w:p w:rsidR="02818B17" w:rsidP="77533413" w:rsidRDefault="02818B17" w14:paraId="7AA9C34A" w14:textId="7681E235">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663420B6" w14:textId="3B250C4C">
      <w:pPr>
        <w:spacing w:before="0" w:beforeAutospacing="off" w:after="0" w:afterAutospacing="off"/>
        <w:jc w:val="both"/>
      </w:pPr>
      <w:r w:rsidRPr="77533413" w:rsidR="02818B17">
        <w:rPr>
          <w:rFonts w:ascii="Calibri" w:hAnsi="Calibri" w:eastAsia="Calibri" w:cs="Calibri"/>
          <w:noProof w:val="0"/>
          <w:sz w:val="22"/>
          <w:szCs w:val="22"/>
          <w:lang w:val="ro"/>
        </w:rPr>
        <w:t>3.4 Eligibilitatea se verifică de către experții de practică și coordonatorii de practică, pe baza documentelor depuse de candidat.</w:t>
      </w:r>
    </w:p>
    <w:p w:rsidR="02818B17" w:rsidP="77533413" w:rsidRDefault="02818B17" w14:paraId="332B9528" w14:textId="5B7CA0BA">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72BC416D" w14:textId="00190696">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4. Numărul de locuri disponibile</w:t>
      </w:r>
    </w:p>
    <w:p w:rsidR="02818B17" w:rsidP="77533413" w:rsidRDefault="02818B17" w14:paraId="61DDE589" w14:textId="0103367C">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324BACE4" w14:textId="0E5B6B89">
      <w:pPr>
        <w:spacing w:before="0" w:beforeAutospacing="off" w:after="0" w:afterAutospacing="off"/>
        <w:jc w:val="both"/>
      </w:pPr>
      <w:r w:rsidRPr="77533413" w:rsidR="02818B17">
        <w:rPr>
          <w:rFonts w:ascii="Calibri" w:hAnsi="Calibri" w:eastAsia="Calibri" w:cs="Calibri"/>
          <w:noProof w:val="0"/>
          <w:sz w:val="22"/>
          <w:szCs w:val="22"/>
          <w:lang w:val="ro"/>
        </w:rPr>
        <w:t>4.1 Grupul țintă al proiectului  „The Future Is Circular! Studenți pregătiți pentru un viitor verde”, cod 304252, va fi alcătuit din 280 de studenți selectați din cadrul facultăților aparținând Școlii academice de Arte și Științe Umaniste a Universității Babeș-Bolyai (UBB), care îndeplinesc condițiile de eligibilitate prevăzute la Capitolul 3 din prezenta Metodologie.</w:t>
      </w:r>
    </w:p>
    <w:p w:rsidR="02818B17" w:rsidP="77533413" w:rsidRDefault="02818B17" w14:paraId="1564B3CC" w14:textId="21698D82">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00D9C6AF" w14:textId="11C405FE">
      <w:pPr>
        <w:spacing w:before="0" w:beforeAutospacing="off" w:after="0" w:afterAutospacing="off"/>
        <w:jc w:val="both"/>
      </w:pPr>
      <w:r w:rsidRPr="77533413" w:rsidR="02818B17">
        <w:rPr>
          <w:rFonts w:ascii="Calibri" w:hAnsi="Calibri" w:eastAsia="Calibri" w:cs="Calibri"/>
          <w:noProof w:val="0"/>
          <w:sz w:val="22"/>
          <w:szCs w:val="22"/>
          <w:lang w:val="ro"/>
        </w:rPr>
        <w:t>4.2 Studenții selectați vor beneficia de activități integrate de sprijin destinate creșterii ratei de participare la programele de învățare bazate pe practică, precum și de activități de dezvoltare a competențelor profesionale, transversale și socio-emoționale, corelate cu cerințele actuale ale pieței muncii și cu principiile economiei verzi și circulare.</w:t>
      </w:r>
    </w:p>
    <w:p w:rsidR="02818B17" w:rsidP="77533413" w:rsidRDefault="02818B17" w14:paraId="4FF7B07F" w14:textId="5DD37AF1">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 xml:space="preserve"> </w:t>
      </w:r>
    </w:p>
    <w:p w:rsidR="02818B17" w:rsidP="77533413" w:rsidRDefault="02818B17" w14:paraId="150F7A4A" w14:textId="05E5FA14">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5. Procesul de înscriere</w:t>
      </w:r>
    </w:p>
    <w:p w:rsidR="02818B17" w:rsidP="77533413" w:rsidRDefault="02818B17" w14:paraId="5FA06476" w14:textId="2DE9A2A1">
      <w:pPr>
        <w:spacing w:before="0" w:beforeAutospacing="off" w:after="0" w:afterAutospacing="off"/>
      </w:pPr>
      <w:r w:rsidRPr="77533413" w:rsidR="02818B17">
        <w:rPr>
          <w:rFonts w:ascii="Calibri" w:hAnsi="Calibri" w:eastAsia="Calibri" w:cs="Calibri"/>
          <w:noProof w:val="0"/>
          <w:sz w:val="22"/>
          <w:szCs w:val="22"/>
          <w:lang w:val="ro-RO"/>
        </w:rPr>
        <w:t xml:space="preserve"> </w:t>
      </w:r>
    </w:p>
    <w:p w:rsidR="02818B17" w:rsidP="77533413" w:rsidRDefault="02818B17" w14:paraId="46D4B50D" w14:textId="69E8B557">
      <w:pPr>
        <w:spacing w:before="0" w:beforeAutospacing="off" w:after="0" w:afterAutospacing="off"/>
        <w:jc w:val="both"/>
      </w:pPr>
      <w:r w:rsidRPr="77533413" w:rsidR="02818B17">
        <w:rPr>
          <w:rFonts w:ascii="Calibri" w:hAnsi="Calibri" w:eastAsia="Calibri" w:cs="Calibri"/>
          <w:noProof w:val="0"/>
          <w:sz w:val="22"/>
          <w:szCs w:val="22"/>
          <w:lang w:val="ro-RO"/>
        </w:rPr>
        <w:t>5.1 Procesul de înscriere în cadrul Grupului Țintă (GT) al proiectului „The Future Is Circular! Studenți pregătiți pentru un viitor verde”, cod 304252, se va desfășura în mod transparent, prin publicarea Anunțului de selecție atât la sediile facultăților participante, cât și pe site-ul oficial al proiectului și pe paginile web ale facultăților implicate.</w:t>
      </w:r>
    </w:p>
    <w:p w:rsidR="02818B17" w:rsidP="77533413" w:rsidRDefault="02818B17" w14:paraId="1685F6F2" w14:textId="1ABE8FA5">
      <w:pPr>
        <w:spacing w:before="0" w:beforeAutospacing="off" w:after="0" w:afterAutospacing="off"/>
        <w:jc w:val="both"/>
      </w:pPr>
      <w:r w:rsidRPr="77533413" w:rsidR="02818B17">
        <w:rPr>
          <w:rFonts w:ascii="Calibri" w:hAnsi="Calibri" w:eastAsia="Calibri" w:cs="Calibri"/>
          <w:noProof w:val="0"/>
          <w:sz w:val="22"/>
          <w:szCs w:val="22"/>
          <w:lang w:val="ro-RO"/>
        </w:rPr>
        <w:t xml:space="preserve"> </w:t>
      </w:r>
    </w:p>
    <w:p w:rsidR="02818B17" w:rsidP="77533413" w:rsidRDefault="02818B17" w14:paraId="1503137D" w14:textId="2CD569E8">
      <w:pPr>
        <w:spacing w:before="0" w:beforeAutospacing="off" w:after="0" w:afterAutospacing="off"/>
        <w:jc w:val="both"/>
      </w:pPr>
      <w:r w:rsidRPr="77533413" w:rsidR="02818B17">
        <w:rPr>
          <w:rFonts w:ascii="Calibri" w:hAnsi="Calibri" w:eastAsia="Calibri" w:cs="Calibri"/>
          <w:noProof w:val="0"/>
          <w:sz w:val="22"/>
          <w:szCs w:val="22"/>
          <w:lang w:val="ro-RO"/>
        </w:rPr>
        <w:t>5.2</w:t>
      </w:r>
      <w:r w:rsidRPr="77533413" w:rsidR="02818B17">
        <w:rPr>
          <w:rFonts w:ascii="Calibri" w:hAnsi="Calibri" w:eastAsia="Calibri" w:cs="Calibri"/>
          <w:b w:val="1"/>
          <w:bCs w:val="1"/>
          <w:noProof w:val="0"/>
          <w:sz w:val="22"/>
          <w:szCs w:val="22"/>
          <w:lang w:val="ro-RO"/>
        </w:rPr>
        <w:t xml:space="preserve"> </w:t>
      </w:r>
      <w:r w:rsidRPr="77533413" w:rsidR="02818B17">
        <w:rPr>
          <w:rFonts w:ascii="Calibri" w:hAnsi="Calibri" w:eastAsia="Calibri" w:cs="Calibri"/>
          <w:noProof w:val="0"/>
          <w:sz w:val="22"/>
          <w:szCs w:val="22"/>
          <w:lang w:val="ro-RO"/>
        </w:rPr>
        <w:t>Anunțul de lansare</w:t>
      </w:r>
      <w:r w:rsidRPr="77533413" w:rsidR="02818B17">
        <w:rPr>
          <w:rFonts w:ascii="Calibri" w:hAnsi="Calibri" w:eastAsia="Calibri" w:cs="Calibri"/>
          <w:b w:val="1"/>
          <w:bCs w:val="1"/>
          <w:noProof w:val="0"/>
          <w:sz w:val="22"/>
          <w:szCs w:val="22"/>
          <w:lang w:val="ro-RO"/>
        </w:rPr>
        <w:t xml:space="preserve"> </w:t>
      </w:r>
      <w:r w:rsidRPr="77533413" w:rsidR="02818B17">
        <w:rPr>
          <w:rFonts w:ascii="Calibri" w:hAnsi="Calibri" w:eastAsia="Calibri" w:cs="Calibri"/>
          <w:noProof w:val="0"/>
          <w:sz w:val="22"/>
          <w:szCs w:val="22"/>
          <w:lang w:val="ro-RO"/>
        </w:rPr>
        <w:t xml:space="preserve">a procedurii de selecție a grupului țintă va </w:t>
      </w:r>
      <w:r w:rsidRPr="77533413" w:rsidR="02818B17">
        <w:rPr>
          <w:rFonts w:ascii="Calibri" w:hAnsi="Calibri" w:eastAsia="Calibri" w:cs="Calibri"/>
          <w:noProof w:val="0"/>
          <w:sz w:val="22"/>
          <w:szCs w:val="22"/>
          <w:lang w:val="ro-RO"/>
        </w:rPr>
        <w:t>con</w:t>
      </w:r>
      <w:r w:rsidRPr="77533413" w:rsidR="47468816">
        <w:rPr>
          <w:rFonts w:ascii="Calibri" w:hAnsi="Calibri" w:eastAsia="Calibri" w:cs="Calibri"/>
          <w:noProof w:val="0"/>
          <w:sz w:val="22"/>
          <w:szCs w:val="22"/>
          <w:lang w:val="ro-RO"/>
        </w:rPr>
        <w:t>ț</w:t>
      </w:r>
      <w:r w:rsidRPr="77533413" w:rsidR="02818B17">
        <w:rPr>
          <w:rFonts w:ascii="Calibri" w:hAnsi="Calibri" w:eastAsia="Calibri" w:cs="Calibri"/>
          <w:noProof w:val="0"/>
          <w:sz w:val="22"/>
          <w:szCs w:val="22"/>
          <w:lang w:val="ro-RO"/>
        </w:rPr>
        <w:t>ine</w:t>
      </w:r>
      <w:r w:rsidRPr="77533413" w:rsidR="02818B17">
        <w:rPr>
          <w:rFonts w:ascii="Calibri" w:hAnsi="Calibri" w:eastAsia="Calibri" w:cs="Calibri"/>
          <w:noProof w:val="0"/>
          <w:sz w:val="22"/>
          <w:szCs w:val="22"/>
          <w:lang w:val="ro-RO"/>
        </w:rPr>
        <w:t xml:space="preserve"> următoarele informații esențiale: </w:t>
      </w:r>
    </w:p>
    <w:p w:rsidR="02818B17" w:rsidP="77533413" w:rsidRDefault="02818B17" w14:paraId="30447C33" w14:textId="14EED475">
      <w:pPr>
        <w:spacing w:before="0" w:beforeAutospacing="off" w:after="0" w:afterAutospacing="off"/>
        <w:jc w:val="both"/>
      </w:pPr>
      <w:r w:rsidRPr="77533413" w:rsidR="02818B17">
        <w:rPr>
          <w:rFonts w:ascii="Calibri" w:hAnsi="Calibri" w:eastAsia="Calibri" w:cs="Calibri"/>
          <w:noProof w:val="0"/>
          <w:sz w:val="22"/>
          <w:szCs w:val="22"/>
          <w:lang w:val="ro-RO"/>
        </w:rPr>
        <w:t xml:space="preserve">a) perioada de înscriere (cu precizarea datei de început și a datei-limită); </w:t>
      </w:r>
    </w:p>
    <w:p w:rsidR="02818B17" w:rsidP="77533413" w:rsidRDefault="02818B17" w14:paraId="5EA18667" w14:textId="1D96C067">
      <w:pPr>
        <w:spacing w:before="0" w:beforeAutospacing="off" w:after="0" w:afterAutospacing="off"/>
        <w:jc w:val="both"/>
      </w:pPr>
      <w:r w:rsidRPr="77533413" w:rsidR="02818B17">
        <w:rPr>
          <w:rFonts w:ascii="Calibri" w:hAnsi="Calibri" w:eastAsia="Calibri" w:cs="Calibri"/>
          <w:noProof w:val="0"/>
          <w:sz w:val="22"/>
          <w:szCs w:val="22"/>
          <w:lang w:val="ro-RO"/>
        </w:rPr>
        <w:t xml:space="preserve">b) condițiile de eligibilitate, conform Capitolului 3 al prezentei metodologii; </w:t>
      </w:r>
    </w:p>
    <w:p w:rsidR="02818B17" w:rsidP="77533413" w:rsidRDefault="02818B17" w14:paraId="040515C9" w14:textId="57AA6310">
      <w:pPr>
        <w:spacing w:before="0" w:beforeAutospacing="off" w:after="0" w:afterAutospacing="off"/>
        <w:jc w:val="both"/>
      </w:pPr>
      <w:r w:rsidRPr="77533413" w:rsidR="02818B17">
        <w:rPr>
          <w:rFonts w:ascii="Calibri" w:hAnsi="Calibri" w:eastAsia="Calibri" w:cs="Calibri"/>
          <w:noProof w:val="0"/>
          <w:sz w:val="22"/>
          <w:szCs w:val="22"/>
          <w:lang w:val="ro-RO"/>
        </w:rPr>
        <w:t xml:space="preserve">c) lista completă a documentelor necesare pentru dosarul de candidatură; </w:t>
      </w:r>
    </w:p>
    <w:p w:rsidR="02818B17" w:rsidP="77533413" w:rsidRDefault="02818B17" w14:paraId="3FCC1694" w14:textId="2E754777">
      <w:pPr>
        <w:spacing w:before="0" w:beforeAutospacing="off" w:after="0" w:afterAutospacing="off"/>
        <w:jc w:val="both"/>
      </w:pPr>
      <w:r w:rsidRPr="77533413" w:rsidR="02818B17">
        <w:rPr>
          <w:rFonts w:ascii="Calibri" w:hAnsi="Calibri" w:eastAsia="Calibri" w:cs="Calibri"/>
          <w:noProof w:val="0"/>
          <w:sz w:val="22"/>
          <w:szCs w:val="22"/>
          <w:lang w:val="ro-RO"/>
        </w:rPr>
        <w:t xml:space="preserve">d) descrierea etapelor procesului de selecție și termenele aferente; </w:t>
      </w:r>
    </w:p>
    <w:p w:rsidR="02818B17" w:rsidP="77533413" w:rsidRDefault="02818B17" w14:paraId="37F2B3E3" w14:textId="28FAA440">
      <w:pPr>
        <w:spacing w:before="0" w:beforeAutospacing="off" w:after="0" w:afterAutospacing="off"/>
        <w:jc w:val="both"/>
      </w:pPr>
      <w:r w:rsidRPr="77533413" w:rsidR="02818B17">
        <w:rPr>
          <w:rFonts w:ascii="Calibri" w:hAnsi="Calibri" w:eastAsia="Calibri" w:cs="Calibri"/>
          <w:noProof w:val="0"/>
          <w:sz w:val="22"/>
          <w:szCs w:val="22"/>
          <w:lang w:val="ro-RO"/>
        </w:rPr>
        <w:t xml:space="preserve">e) termenii și condițiile ce vor trebuie respectate de către participanții la activitățile derulate prin proiect; </w:t>
      </w:r>
    </w:p>
    <w:p w:rsidR="02818B17" w:rsidP="77533413" w:rsidRDefault="02818B17" w14:paraId="46D1FF3D" w14:textId="4EF72C4B">
      <w:pPr>
        <w:spacing w:before="0" w:beforeAutospacing="off" w:after="0" w:afterAutospacing="off"/>
        <w:jc w:val="both"/>
      </w:pPr>
      <w:r w:rsidRPr="77533413" w:rsidR="02818B17">
        <w:rPr>
          <w:rFonts w:ascii="Calibri" w:hAnsi="Calibri" w:eastAsia="Calibri" w:cs="Calibri"/>
          <w:noProof w:val="0"/>
          <w:sz w:val="22"/>
          <w:szCs w:val="22"/>
          <w:lang w:val="ro-RO"/>
        </w:rPr>
        <w:t xml:space="preserve">f) informații privind protecția datelor personale și evitarea dublei finanțări; </w:t>
      </w:r>
    </w:p>
    <w:p w:rsidR="02818B17" w:rsidP="77533413" w:rsidRDefault="02818B17" w14:paraId="21394CB8" w14:textId="406356D5">
      <w:pPr>
        <w:spacing w:before="0" w:beforeAutospacing="off" w:after="0" w:afterAutospacing="off"/>
        <w:jc w:val="both"/>
      </w:pPr>
      <w:r w:rsidRPr="77533413" w:rsidR="02818B17">
        <w:rPr>
          <w:rFonts w:ascii="Calibri" w:hAnsi="Calibri" w:eastAsia="Calibri" w:cs="Calibri"/>
          <w:noProof w:val="0"/>
          <w:sz w:val="22"/>
          <w:szCs w:val="22"/>
          <w:lang w:val="ro-RO"/>
        </w:rPr>
        <w:t>g) menționarea canalelor oficiale de comunicare (site, e-mail, platformă).</w:t>
      </w:r>
    </w:p>
    <w:p w:rsidR="02818B17" w:rsidP="77533413" w:rsidRDefault="02818B17" w14:paraId="670EA1B5" w14:textId="179BB5E1">
      <w:pPr>
        <w:spacing w:before="0" w:beforeAutospacing="off" w:after="0" w:afterAutospacing="off"/>
        <w:jc w:val="both"/>
      </w:pPr>
      <w:r w:rsidRPr="77533413" w:rsidR="02818B17">
        <w:rPr>
          <w:rFonts w:ascii="Calibri" w:hAnsi="Calibri" w:eastAsia="Calibri" w:cs="Calibri"/>
          <w:noProof w:val="0"/>
          <w:sz w:val="22"/>
          <w:szCs w:val="22"/>
          <w:lang w:val="ro-RO"/>
        </w:rPr>
        <w:t xml:space="preserve"> </w:t>
      </w:r>
    </w:p>
    <w:p w:rsidR="02818B17" w:rsidP="77533413" w:rsidRDefault="02818B17" w14:paraId="3640A38B" w14:textId="6710FC2D">
      <w:pPr>
        <w:spacing w:before="0" w:beforeAutospacing="off" w:after="0" w:afterAutospacing="off"/>
        <w:jc w:val="both"/>
      </w:pPr>
      <w:r w:rsidRPr="77533413" w:rsidR="02818B17">
        <w:rPr>
          <w:rFonts w:ascii="Calibri" w:hAnsi="Calibri" w:eastAsia="Calibri" w:cs="Calibri"/>
          <w:noProof w:val="0"/>
          <w:sz w:val="22"/>
          <w:szCs w:val="22"/>
          <w:lang w:val="ro-RO"/>
        </w:rPr>
        <w:t>5.3 Pentru asigurarea egalității de șanse, perioada de înscriere va fi de minimum 5 zile lucrătoare, iar calendarul de depunere a dosarelor va fi stabilit și anunțat în prealabil de către echipa de management a proiectului, în colaborare cu facultățile implicate.</w:t>
      </w:r>
    </w:p>
    <w:p w:rsidR="02818B17" w:rsidP="77533413" w:rsidRDefault="02818B17" w14:paraId="22B3B8E8" w14:textId="11238843">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6C1F70B7" w14:textId="04B7706D">
      <w:pPr>
        <w:spacing w:before="0" w:beforeAutospacing="off" w:after="0" w:afterAutospacing="off"/>
        <w:jc w:val="both"/>
      </w:pPr>
      <w:r w:rsidRPr="77533413" w:rsidR="02818B17">
        <w:rPr>
          <w:rFonts w:ascii="Calibri" w:hAnsi="Calibri" w:eastAsia="Calibri" w:cs="Calibri"/>
          <w:noProof w:val="0"/>
          <w:sz w:val="22"/>
          <w:szCs w:val="22"/>
          <w:lang w:val="ro"/>
        </w:rPr>
        <w:t>5.4 Studenții interesați se pot înscrie prin depunerea unui dosar de candidatură  (</w:t>
      </w:r>
      <w:r w:rsidRPr="77533413" w:rsidR="02818B17">
        <w:rPr>
          <w:rFonts w:ascii="Calibri" w:hAnsi="Calibri" w:eastAsia="Calibri" w:cs="Calibri"/>
          <w:b w:val="1"/>
          <w:bCs w:val="1"/>
          <w:noProof w:val="0"/>
          <w:sz w:val="22"/>
          <w:szCs w:val="22"/>
          <w:lang w:val="ro"/>
        </w:rPr>
        <w:t>Dosar GT</w:t>
      </w:r>
      <w:r w:rsidRPr="77533413" w:rsidR="02818B17">
        <w:rPr>
          <w:rFonts w:ascii="Calibri" w:hAnsi="Calibri" w:eastAsia="Calibri" w:cs="Calibri"/>
          <w:noProof w:val="0"/>
          <w:sz w:val="22"/>
          <w:szCs w:val="22"/>
          <w:lang w:val="ro"/>
        </w:rPr>
        <w:t>) în format electronic, la adresa electronică menționată în Anunțul de selecție.</w:t>
      </w:r>
    </w:p>
    <w:p w:rsidR="02818B17" w:rsidP="77533413" w:rsidRDefault="02818B17" w14:paraId="3EAF37BC" w14:textId="515571A0">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7D82C11B" w14:textId="3CC7C1F6">
      <w:pPr>
        <w:spacing w:before="0" w:beforeAutospacing="off" w:after="0" w:afterAutospacing="off"/>
        <w:jc w:val="both"/>
      </w:pPr>
      <w:r w:rsidRPr="77533413" w:rsidR="02818B17">
        <w:rPr>
          <w:rFonts w:ascii="Calibri" w:hAnsi="Calibri" w:eastAsia="Calibri" w:cs="Calibri"/>
          <w:noProof w:val="0"/>
          <w:sz w:val="22"/>
          <w:szCs w:val="22"/>
          <w:lang w:val="ro"/>
        </w:rPr>
        <w:t>5.5 Dosarul de candidatură va conține următoarele documente, completate, semnate și datate:</w:t>
      </w:r>
      <w:r>
        <w:br/>
      </w:r>
      <w:r w:rsidRPr="77533413" w:rsidR="02818B17">
        <w:rPr>
          <w:rFonts w:ascii="Calibri" w:hAnsi="Calibri" w:eastAsia="Calibri" w:cs="Calibri"/>
          <w:noProof w:val="0"/>
          <w:sz w:val="22"/>
          <w:szCs w:val="22"/>
          <w:lang w:val="ro"/>
        </w:rPr>
        <w:t>1) Formular de înscriere (Anexa 1);</w:t>
      </w:r>
    </w:p>
    <w:p w:rsidR="02818B17" w:rsidP="77533413" w:rsidRDefault="02818B17" w14:paraId="7A1980A5" w14:textId="3C32459D">
      <w:pPr>
        <w:spacing w:before="0" w:beforeAutospacing="off" w:after="0" w:afterAutospacing="off"/>
        <w:jc w:val="both"/>
      </w:pPr>
      <w:r w:rsidRPr="77533413" w:rsidR="02818B17">
        <w:rPr>
          <w:rFonts w:ascii="Calibri" w:hAnsi="Calibri" w:eastAsia="Calibri" w:cs="Calibri"/>
          <w:noProof w:val="0"/>
          <w:sz w:val="22"/>
          <w:szCs w:val="22"/>
          <w:lang w:val="ro"/>
        </w:rPr>
        <w:t>2) Formular Înregistrare Grup Țintă (Anexa 2);</w:t>
      </w:r>
    </w:p>
    <w:p w:rsidR="02818B17" w:rsidP="77533413" w:rsidRDefault="02818B17" w14:paraId="602010F7" w14:textId="3498DDBC">
      <w:pPr>
        <w:spacing w:before="0" w:beforeAutospacing="off" w:after="0" w:afterAutospacing="off"/>
        <w:jc w:val="both"/>
      </w:pPr>
      <w:r w:rsidRPr="77533413" w:rsidR="02818B17">
        <w:rPr>
          <w:rFonts w:ascii="Calibri" w:hAnsi="Calibri" w:eastAsia="Calibri" w:cs="Calibri"/>
          <w:noProof w:val="0"/>
          <w:sz w:val="22"/>
          <w:szCs w:val="22"/>
          <w:lang w:val="ro"/>
        </w:rPr>
        <w:t>3) Declarație UNICĂ privind înscrierea la activitățile proiectului (diponibilitate)/ evitarea dublei finanțări/ disponibilitatea pentru participare (Anexa 3);</w:t>
      </w:r>
    </w:p>
    <w:p w:rsidR="02818B17" w:rsidP="77533413" w:rsidRDefault="02818B17" w14:paraId="67A52EF1" w14:textId="133B7E1A">
      <w:pPr>
        <w:spacing w:before="0" w:beforeAutospacing="off" w:after="0" w:afterAutospacing="off"/>
        <w:jc w:val="both"/>
      </w:pPr>
      <w:r w:rsidRPr="77533413" w:rsidR="02818B17">
        <w:rPr>
          <w:rFonts w:ascii="Calibri" w:hAnsi="Calibri" w:eastAsia="Calibri" w:cs="Calibri"/>
          <w:noProof w:val="0"/>
          <w:sz w:val="22"/>
          <w:szCs w:val="22"/>
          <w:lang w:val="ro"/>
        </w:rPr>
        <w:t>4) Acord prelucrare a datelor cu caracter personal (Anexa 4);</w:t>
      </w:r>
    </w:p>
    <w:p w:rsidR="02818B17" w:rsidP="77533413" w:rsidRDefault="02818B17" w14:paraId="39300049" w14:textId="0BF6000C">
      <w:pPr>
        <w:spacing w:before="0" w:beforeAutospacing="off" w:after="0" w:afterAutospacing="off"/>
        <w:jc w:val="both"/>
      </w:pPr>
      <w:r w:rsidRPr="77533413" w:rsidR="02818B17">
        <w:rPr>
          <w:rFonts w:ascii="Calibri" w:hAnsi="Calibri" w:eastAsia="Calibri" w:cs="Calibri"/>
          <w:noProof w:val="0"/>
          <w:sz w:val="22"/>
          <w:szCs w:val="22"/>
          <w:lang w:val="ro"/>
        </w:rPr>
        <w:t>5) Adeverință de student eliberată de facultate (care să ateste specializarea, anul, linia și forma de învățământ, precum și media generală a ultimului an de studiu, iar în cazul studenților din primul an de studiu, media de admitere);</w:t>
      </w:r>
    </w:p>
    <w:p w:rsidR="02818B17" w:rsidP="77533413" w:rsidRDefault="02818B17" w14:paraId="73E9B64B" w14:textId="7D971998">
      <w:pPr>
        <w:spacing w:before="0" w:beforeAutospacing="off" w:after="0" w:afterAutospacing="off"/>
        <w:jc w:val="both"/>
      </w:pPr>
      <w:r w:rsidRPr="77533413" w:rsidR="02818B17">
        <w:rPr>
          <w:rFonts w:ascii="Calibri" w:hAnsi="Calibri" w:eastAsia="Calibri" w:cs="Calibri"/>
          <w:noProof w:val="0"/>
          <w:sz w:val="22"/>
          <w:szCs w:val="22"/>
          <w:lang w:val="ro"/>
        </w:rPr>
        <w:t>6) Copie carte de identitate;</w:t>
      </w:r>
    </w:p>
    <w:p w:rsidR="02818B17" w:rsidP="77533413" w:rsidRDefault="02818B17" w14:paraId="0086B30F" w14:textId="23B02488">
      <w:pPr>
        <w:spacing w:before="0" w:beforeAutospacing="off" w:after="0" w:afterAutospacing="off"/>
        <w:jc w:val="both"/>
      </w:pPr>
      <w:r w:rsidRPr="77533413" w:rsidR="02818B17">
        <w:rPr>
          <w:rFonts w:ascii="Calibri" w:hAnsi="Calibri" w:eastAsia="Calibri" w:cs="Calibri"/>
          <w:noProof w:val="0"/>
          <w:sz w:val="22"/>
          <w:szCs w:val="22"/>
          <w:lang w:val="ro"/>
        </w:rPr>
        <w:t>7) Copie certificat de căsătorie (dacă este cazul pentru pentru persoanele care trebuie să ateste schimbarea numelui)</w:t>
      </w:r>
      <w:r w:rsidRPr="77533413" w:rsidR="51668B9F">
        <w:rPr>
          <w:rFonts w:ascii="Calibri" w:hAnsi="Calibri" w:eastAsia="Calibri" w:cs="Calibri"/>
          <w:noProof w:val="0"/>
          <w:sz w:val="22"/>
          <w:szCs w:val="22"/>
          <w:lang w:val="ro"/>
        </w:rPr>
        <w:t>.</w:t>
      </w:r>
    </w:p>
    <w:p w:rsidR="02818B17" w:rsidP="77533413" w:rsidRDefault="02818B17" w14:paraId="3EB3AC3B" w14:textId="5D24F25C">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4766403C" w14:textId="23EE77D2">
      <w:pPr>
        <w:spacing w:before="0" w:beforeAutospacing="off" w:after="0" w:afterAutospacing="off"/>
        <w:jc w:val="both"/>
      </w:pPr>
      <w:r w:rsidRPr="77533413" w:rsidR="02818B17">
        <w:rPr>
          <w:rFonts w:ascii="Calibri" w:hAnsi="Calibri" w:eastAsia="Calibri" w:cs="Calibri"/>
          <w:noProof w:val="0"/>
          <w:sz w:val="22"/>
          <w:szCs w:val="22"/>
          <w:lang w:val="ro"/>
        </w:rPr>
        <w:t>5.6 Toate documentele depuse în copie la dosarul de candidatură vor avea mențiunea “conform cu originalul” lângă semnatura olografă a candidatului.</w:t>
      </w:r>
    </w:p>
    <w:p w:rsidR="02818B17" w:rsidP="77533413" w:rsidRDefault="02818B17" w14:paraId="6F6FC689" w14:textId="745274E8">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22FCB954" w14:textId="72F3B517">
      <w:pPr>
        <w:spacing w:before="0" w:beforeAutospacing="off" w:after="0" w:afterAutospacing="off"/>
        <w:jc w:val="both"/>
      </w:pPr>
      <w:r w:rsidRPr="77533413" w:rsidR="02818B17">
        <w:rPr>
          <w:rFonts w:ascii="Calibri" w:hAnsi="Calibri" w:eastAsia="Calibri" w:cs="Calibri"/>
          <w:noProof w:val="0"/>
          <w:sz w:val="22"/>
          <w:szCs w:val="22"/>
          <w:lang w:val="ro"/>
        </w:rPr>
        <w:t xml:space="preserve">5.7 Documentele care compun dosarul de candidatură vor fi completate lizibil, pe o singură față, și se transmit în format digital la adresa de e-mail indicată în Anunțul de Selecție. </w:t>
      </w:r>
    </w:p>
    <w:p w:rsidR="02818B17" w:rsidP="77533413" w:rsidRDefault="02818B17" w14:paraId="624F4722" w14:textId="5B3180CA">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75B57010" w14:textId="4FC1CE73">
      <w:pPr>
        <w:spacing w:before="0" w:beforeAutospacing="off" w:after="0" w:afterAutospacing="off"/>
        <w:jc w:val="both"/>
      </w:pPr>
      <w:r w:rsidRPr="77533413" w:rsidR="02818B17">
        <w:rPr>
          <w:rFonts w:ascii="Calibri" w:hAnsi="Calibri" w:eastAsia="Calibri" w:cs="Calibri"/>
          <w:noProof w:val="0"/>
          <w:sz w:val="22"/>
          <w:szCs w:val="22"/>
          <w:lang w:val="ro"/>
        </w:rPr>
        <w:t xml:space="preserve">5.8 Experții de practică vor înregistra dosarele primite într-un </w:t>
      </w:r>
      <w:r w:rsidRPr="77533413" w:rsidR="02818B17">
        <w:rPr>
          <w:rFonts w:ascii="Calibri" w:hAnsi="Calibri" w:eastAsia="Calibri" w:cs="Calibri"/>
          <w:noProof w:val="0"/>
          <w:sz w:val="22"/>
          <w:szCs w:val="22"/>
          <w:lang w:val="ro"/>
        </w:rPr>
        <w:t>Registru</w:t>
      </w:r>
      <w:r w:rsidRPr="77533413" w:rsidR="02818B17">
        <w:rPr>
          <w:rFonts w:ascii="Calibri" w:hAnsi="Calibri" w:eastAsia="Calibri" w:cs="Calibri"/>
          <w:noProof w:val="0"/>
          <w:sz w:val="22"/>
          <w:szCs w:val="22"/>
          <w:lang w:val="ro"/>
        </w:rPr>
        <w:t xml:space="preserve"> de înscrieri și vor transmite lista candidaților înscriși către coordonatorul de practică și echipa de management.</w:t>
      </w:r>
    </w:p>
    <w:p w:rsidR="02818B17" w:rsidP="77533413" w:rsidRDefault="02818B17" w14:paraId="6D977D6D" w14:textId="23260A65">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0C6DCAB4" w14:textId="21746223">
      <w:pPr>
        <w:spacing w:before="0" w:beforeAutospacing="off" w:after="0" w:afterAutospacing="off"/>
        <w:jc w:val="both"/>
      </w:pPr>
      <w:r w:rsidRPr="77533413" w:rsidR="02818B17">
        <w:rPr>
          <w:rFonts w:ascii="Calibri" w:hAnsi="Calibri" w:eastAsia="Calibri" w:cs="Calibri"/>
          <w:noProof w:val="0"/>
          <w:sz w:val="22"/>
          <w:szCs w:val="22"/>
          <w:lang w:val="ro"/>
        </w:rPr>
        <w:t>5.9 Dosarele incomplete, ilizibile sau depuse după expirarea termenului-limită nu vor fi luate în considerare. Candidații vor fi informați prin e-mail în legătură cu starea dosarului lor (acceptat, respins, rezervă).</w:t>
      </w:r>
    </w:p>
    <w:p w:rsidR="02818B17" w:rsidP="77533413" w:rsidRDefault="02818B17" w14:paraId="637B3553" w14:textId="7AC5567B">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05C99F48" w14:textId="77DAE8AD">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6. Procesul de selecție</w:t>
      </w:r>
    </w:p>
    <w:p w:rsidR="02818B17" w:rsidP="77533413" w:rsidRDefault="02818B17" w14:paraId="04FEA998" w14:textId="53A6AA0D">
      <w:pPr>
        <w:spacing w:before="0" w:beforeAutospacing="off" w:after="0" w:afterAutospacing="off"/>
      </w:pPr>
      <w:r w:rsidRPr="77533413" w:rsidR="02818B17">
        <w:rPr>
          <w:rFonts w:ascii="Calibri" w:hAnsi="Calibri" w:eastAsia="Calibri" w:cs="Calibri"/>
          <w:noProof w:val="0"/>
          <w:sz w:val="22"/>
          <w:szCs w:val="22"/>
          <w:lang w:val="ro-RO"/>
        </w:rPr>
        <w:t xml:space="preserve"> </w:t>
      </w:r>
    </w:p>
    <w:p w:rsidR="02818B17" w:rsidP="77533413" w:rsidRDefault="02818B17" w14:paraId="60938D66" w14:textId="3079DC51">
      <w:pPr>
        <w:spacing w:before="0" w:beforeAutospacing="off" w:after="0" w:afterAutospacing="off"/>
        <w:jc w:val="both"/>
      </w:pPr>
      <w:r w:rsidRPr="77533413" w:rsidR="02818B17">
        <w:rPr>
          <w:rFonts w:ascii="Calibri" w:hAnsi="Calibri" w:eastAsia="Calibri" w:cs="Calibri"/>
          <w:noProof w:val="0"/>
          <w:sz w:val="22"/>
          <w:szCs w:val="22"/>
          <w:lang w:val="ro-RO"/>
        </w:rPr>
        <w:t xml:space="preserve">6.1 La încheierea perioadei de depunere a dosarelor de candidatura se va demara procesul de evaluare și ierarhizare a candidaților înscriși pentru includerea în Grupul Țintă (GT) al proiectului „The Future Is Circular! Studenți pregătiți pentru un viitor verde”, cod 304252. </w:t>
      </w:r>
    </w:p>
    <w:p w:rsidR="02818B17" w:rsidP="77533413" w:rsidRDefault="02818B17" w14:paraId="26B4DFEC" w14:textId="15D13E9D">
      <w:pPr>
        <w:spacing w:before="0" w:beforeAutospacing="off" w:after="0" w:afterAutospacing="off"/>
        <w:jc w:val="both"/>
      </w:pPr>
      <w:r w:rsidRPr="77533413" w:rsidR="02818B17">
        <w:rPr>
          <w:rFonts w:ascii="Calibri" w:hAnsi="Calibri" w:eastAsia="Calibri" w:cs="Calibri"/>
          <w:noProof w:val="0"/>
          <w:sz w:val="22"/>
          <w:szCs w:val="22"/>
          <w:lang w:val="ro-RO"/>
        </w:rPr>
        <w:t xml:space="preserve"> </w:t>
      </w:r>
    </w:p>
    <w:p w:rsidR="02818B17" w:rsidP="77533413" w:rsidRDefault="02818B17" w14:paraId="4B0B5DCA" w14:textId="5E9F2CE1">
      <w:pPr>
        <w:spacing w:before="0" w:beforeAutospacing="off" w:after="0" w:afterAutospacing="off"/>
        <w:jc w:val="both"/>
      </w:pPr>
      <w:r w:rsidRPr="77533413" w:rsidR="02818B17">
        <w:rPr>
          <w:rFonts w:ascii="Calibri" w:hAnsi="Calibri" w:eastAsia="Calibri" w:cs="Calibri"/>
          <w:noProof w:val="0"/>
          <w:sz w:val="22"/>
          <w:szCs w:val="22"/>
          <w:lang w:val="ro-RO"/>
        </w:rPr>
        <w:t>6.2 Evaluarea dosarelor și ierarhizarea candidaților se realizează de către Comisia de evaluare și selecție, numită de Managerul de proiect pentru fiecare din facultățile implicate, distinctă de comisia de contestații.</w:t>
      </w:r>
    </w:p>
    <w:p w:rsidR="02818B17" w:rsidP="77533413" w:rsidRDefault="02818B17" w14:paraId="6C85E5AE" w14:textId="5D612E4E">
      <w:pPr>
        <w:spacing w:before="0" w:beforeAutospacing="off" w:after="0" w:afterAutospacing="off"/>
        <w:jc w:val="both"/>
      </w:pPr>
      <w:r w:rsidRPr="77533413" w:rsidR="02818B17">
        <w:rPr>
          <w:rFonts w:ascii="Calibri" w:hAnsi="Calibri" w:eastAsia="Calibri" w:cs="Calibri"/>
          <w:noProof w:val="0"/>
          <w:sz w:val="22"/>
          <w:szCs w:val="22"/>
          <w:lang w:val="ro-RO"/>
        </w:rPr>
        <w:t xml:space="preserve"> </w:t>
      </w:r>
    </w:p>
    <w:p w:rsidR="02818B17" w:rsidP="77533413" w:rsidRDefault="02818B17" w14:paraId="03BBEAD7" w14:textId="27DA45C3">
      <w:pPr>
        <w:spacing w:before="0" w:beforeAutospacing="off" w:after="0" w:afterAutospacing="off"/>
        <w:jc w:val="both"/>
      </w:pPr>
      <w:r w:rsidRPr="77533413" w:rsidR="02818B17">
        <w:rPr>
          <w:rFonts w:ascii="Calibri" w:hAnsi="Calibri" w:eastAsia="Calibri" w:cs="Calibri"/>
          <w:noProof w:val="0"/>
          <w:sz w:val="22"/>
          <w:szCs w:val="22"/>
          <w:lang w:val="ro-RO"/>
        </w:rPr>
        <w:t xml:space="preserve">6.3 În cadrul fiecărei facultăți implicate, Comisia de evaluare și selecție este compusă din: </w:t>
      </w:r>
    </w:p>
    <w:p w:rsidR="02818B17" w:rsidP="77533413" w:rsidRDefault="02818B17" w14:paraId="2EEBB1B2" w14:textId="5E10DC4D">
      <w:pPr>
        <w:pStyle w:val="ListParagraph"/>
        <w:numPr>
          <w:ilvl w:val="0"/>
          <w:numId w:val="9"/>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1 coordonator activități; </w:t>
      </w:r>
    </w:p>
    <w:p w:rsidR="02818B17" w:rsidP="77533413" w:rsidRDefault="02818B17" w14:paraId="63044F16" w14:textId="177E9547">
      <w:pPr>
        <w:pStyle w:val="ListParagraph"/>
        <w:numPr>
          <w:ilvl w:val="0"/>
          <w:numId w:val="9"/>
        </w:numPr>
        <w:spacing w:before="0" w:beforeAutospacing="off" w:after="0" w:afterAutospacing="off"/>
        <w:ind w:left="720" w:right="0" w:hanging="360"/>
        <w:jc w:val="both"/>
        <w:rPr>
          <w:rFonts w:ascii="Calibri" w:hAnsi="Calibri" w:eastAsia="Calibri" w:cs="Calibri"/>
          <w:noProof w:val="0"/>
          <w:sz w:val="22"/>
          <w:szCs w:val="22"/>
          <w:lang w:val="ro-RO"/>
        </w:rPr>
      </w:pPr>
      <w:r w:rsidRPr="77533413" w:rsidR="02818B17">
        <w:rPr>
          <w:rFonts w:ascii="Calibri" w:hAnsi="Calibri" w:eastAsia="Calibri" w:cs="Calibri"/>
          <w:noProof w:val="0"/>
          <w:sz w:val="22"/>
          <w:szCs w:val="22"/>
          <w:lang w:val="ro-RO"/>
        </w:rPr>
        <w:t xml:space="preserve">2 experți de practică; </w:t>
      </w:r>
    </w:p>
    <w:p w:rsidR="02818B17" w:rsidP="77533413" w:rsidRDefault="02818B17" w14:paraId="18FD9C74" w14:textId="4070F371">
      <w:pPr>
        <w:spacing w:before="0" w:beforeAutospacing="off" w:after="0" w:afterAutospacing="off"/>
        <w:jc w:val="both"/>
      </w:pPr>
      <w:r w:rsidRPr="77533413" w:rsidR="02818B17">
        <w:rPr>
          <w:rFonts w:ascii="Calibri" w:hAnsi="Calibri" w:eastAsia="Calibri" w:cs="Calibri"/>
          <w:noProof w:val="0"/>
          <w:sz w:val="22"/>
          <w:szCs w:val="22"/>
          <w:lang w:val="ro-RO"/>
        </w:rPr>
        <w:t>opțional, un reprezentant al echipei de management, cu rol consultativ, pentru asigurarea uniformității procedural</w:t>
      </w:r>
      <w:r w:rsidRPr="77533413" w:rsidR="06197AA9">
        <w:rPr>
          <w:rFonts w:ascii="Calibri" w:hAnsi="Calibri" w:eastAsia="Calibri" w:cs="Calibri"/>
          <w:noProof w:val="0"/>
          <w:sz w:val="22"/>
          <w:szCs w:val="22"/>
          <w:lang w:val="ro-RO"/>
        </w:rPr>
        <w:t>e</w:t>
      </w:r>
      <w:r w:rsidRPr="77533413" w:rsidR="02818B17">
        <w:rPr>
          <w:rFonts w:ascii="Calibri" w:hAnsi="Calibri" w:eastAsia="Calibri" w:cs="Calibri"/>
          <w:noProof w:val="0"/>
          <w:sz w:val="22"/>
          <w:szCs w:val="22"/>
          <w:lang w:val="ro-RO"/>
        </w:rPr>
        <w:t>.</w:t>
      </w:r>
    </w:p>
    <w:p w:rsidR="02818B17" w:rsidP="77533413" w:rsidRDefault="02818B17" w14:paraId="298C8032" w14:textId="725607E0">
      <w:pPr>
        <w:spacing w:before="0" w:beforeAutospacing="off" w:after="0" w:afterAutospacing="off"/>
        <w:jc w:val="both"/>
      </w:pPr>
      <w:r w:rsidRPr="77533413" w:rsidR="02818B17">
        <w:rPr>
          <w:rFonts w:ascii="Calibri" w:hAnsi="Calibri" w:eastAsia="Calibri" w:cs="Calibri"/>
          <w:noProof w:val="0"/>
          <w:sz w:val="22"/>
          <w:szCs w:val="22"/>
          <w:lang w:val="ro-RO"/>
        </w:rPr>
        <w:t xml:space="preserve"> </w:t>
      </w:r>
    </w:p>
    <w:p w:rsidR="02818B17" w:rsidP="77533413" w:rsidRDefault="02818B17" w14:paraId="1B9C6AD1" w14:textId="40CE56A0">
      <w:pPr>
        <w:spacing w:before="0" w:beforeAutospacing="off" w:after="0" w:afterAutospacing="off"/>
        <w:jc w:val="both"/>
      </w:pPr>
      <w:r w:rsidRPr="77533413" w:rsidR="02818B17">
        <w:rPr>
          <w:rFonts w:ascii="Calibri" w:hAnsi="Calibri" w:eastAsia="Calibri" w:cs="Calibri"/>
          <w:noProof w:val="0"/>
          <w:sz w:val="22"/>
          <w:szCs w:val="22"/>
          <w:lang w:val="ro-RO"/>
        </w:rPr>
        <w:t>6.4 Procesul de selecție se desfășoară în două etape:</w:t>
      </w:r>
    </w:p>
    <w:p w:rsidR="02818B17" w:rsidP="77533413" w:rsidRDefault="02818B17" w14:paraId="1CEC8B01" w14:textId="02DCC720">
      <w:pPr>
        <w:spacing w:before="0" w:beforeAutospacing="off" w:after="0" w:afterAutospacing="off"/>
        <w:jc w:val="both"/>
        <w:rPr>
          <w:rFonts w:ascii="Calibri" w:hAnsi="Calibri" w:eastAsia="Calibri" w:cs="Calibri"/>
          <w:noProof w:val="0"/>
          <w:sz w:val="22"/>
          <w:szCs w:val="22"/>
          <w:lang w:val="ro"/>
        </w:rPr>
      </w:pPr>
      <w:r w:rsidRPr="77533413" w:rsidR="02818B17">
        <w:rPr>
          <w:rFonts w:ascii="Calibri" w:hAnsi="Calibri" w:eastAsia="Calibri" w:cs="Calibri"/>
          <w:noProof w:val="0"/>
          <w:sz w:val="22"/>
          <w:szCs w:val="22"/>
          <w:lang w:val="ro"/>
        </w:rPr>
        <w:t xml:space="preserve">Etapa I - Verificarea eligibilității – se verifică dacă documentele depuse sunt conforme și corect completate și dacă se îndeplinesc criteriile de eligibilitate. Rezultatul verificării este consemnat într-un Proces-verbal de </w:t>
      </w:r>
      <w:r w:rsidRPr="77533413" w:rsidR="4DBD96FD">
        <w:rPr>
          <w:rFonts w:ascii="Calibri" w:hAnsi="Calibri" w:eastAsia="Calibri" w:cs="Calibri"/>
          <w:noProof w:val="0"/>
          <w:sz w:val="22"/>
          <w:szCs w:val="22"/>
          <w:lang w:val="ro"/>
        </w:rPr>
        <w:t xml:space="preserve">verificare a </w:t>
      </w:r>
      <w:r w:rsidRPr="77533413" w:rsidR="02818B17">
        <w:rPr>
          <w:rFonts w:ascii="Calibri" w:hAnsi="Calibri" w:eastAsia="Calibri" w:cs="Calibri"/>
          <w:noProof w:val="0"/>
          <w:sz w:val="22"/>
          <w:szCs w:val="22"/>
          <w:lang w:val="ro"/>
        </w:rPr>
        <w:t>eligibilit</w:t>
      </w:r>
      <w:r w:rsidRPr="77533413" w:rsidR="6537B089">
        <w:rPr>
          <w:rFonts w:ascii="Calibri" w:hAnsi="Calibri" w:eastAsia="Calibri" w:cs="Calibri"/>
          <w:noProof w:val="0"/>
          <w:sz w:val="22"/>
          <w:szCs w:val="22"/>
          <w:lang w:val="ro"/>
        </w:rPr>
        <w:t>ății</w:t>
      </w:r>
      <w:r w:rsidRPr="77533413" w:rsidR="02818B17">
        <w:rPr>
          <w:rFonts w:ascii="Calibri" w:hAnsi="Calibri" w:eastAsia="Calibri" w:cs="Calibri"/>
          <w:noProof w:val="0"/>
          <w:sz w:val="22"/>
          <w:szCs w:val="22"/>
          <w:lang w:val="ro"/>
        </w:rPr>
        <w:t>, semnat de membrii comisiei.</w:t>
      </w:r>
    </w:p>
    <w:p w:rsidR="02818B17" w:rsidP="77533413" w:rsidRDefault="02818B17" w14:paraId="228941D7" w14:textId="6DF6720D">
      <w:pPr>
        <w:spacing w:before="0" w:beforeAutospacing="off" w:after="0" w:afterAutospacing="off"/>
        <w:jc w:val="both"/>
      </w:pPr>
      <w:r w:rsidRPr="77533413" w:rsidR="02818B17">
        <w:rPr>
          <w:rFonts w:ascii="Calibri" w:hAnsi="Calibri" w:eastAsia="Calibri" w:cs="Calibri"/>
          <w:noProof w:val="0"/>
          <w:sz w:val="22"/>
          <w:szCs w:val="22"/>
          <w:lang w:val="ro"/>
        </w:rPr>
        <w:t>Etapa II - Evaluarea dosarelor eligibile. Rezultatele evaluării vor fi centralizate într-un</w:t>
      </w:r>
      <w:r w:rsidRPr="77533413" w:rsidR="21039B48">
        <w:rPr>
          <w:rFonts w:ascii="Calibri" w:hAnsi="Calibri" w:eastAsia="Calibri" w:cs="Calibri"/>
          <w:noProof w:val="0"/>
          <w:sz w:val="22"/>
          <w:szCs w:val="22"/>
          <w:lang w:val="ro"/>
        </w:rPr>
        <w:t xml:space="preserve"> </w:t>
      </w:r>
      <w:r w:rsidRPr="77533413" w:rsidR="02818B17">
        <w:rPr>
          <w:rFonts w:ascii="Calibri" w:hAnsi="Calibri" w:eastAsia="Calibri" w:cs="Calibri"/>
          <w:noProof w:val="0"/>
          <w:sz w:val="22"/>
          <w:szCs w:val="22"/>
          <w:lang w:val="ro"/>
        </w:rPr>
        <w:t>Tabel de ierarhizare.</w:t>
      </w:r>
    </w:p>
    <w:p w:rsidR="02818B17" w:rsidP="77533413" w:rsidRDefault="02818B17" w14:paraId="5A7EFA84" w14:textId="01C869A9">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3B761D5F" w14:textId="695CBEB8">
      <w:pPr>
        <w:spacing w:before="0" w:beforeAutospacing="off" w:after="0" w:afterAutospacing="off"/>
        <w:jc w:val="both"/>
      </w:pPr>
      <w:r w:rsidRPr="77533413" w:rsidR="02818B17">
        <w:rPr>
          <w:rFonts w:ascii="Calibri" w:hAnsi="Calibri" w:eastAsia="Calibri" w:cs="Calibri"/>
          <w:noProof w:val="0"/>
          <w:sz w:val="22"/>
          <w:szCs w:val="22"/>
          <w:lang w:val="ro"/>
        </w:rPr>
        <w:t>6.5 În cazul în care sunt mai mulți candidați decât locurile disponibile, criteriile de departajare vor fi: a) criteriul de performanță școlară (media academică pe ultimul an de studiu sau media admiterii pentru studenții anului 1);</w:t>
      </w:r>
    </w:p>
    <w:p w:rsidR="02818B17" w:rsidP="77533413" w:rsidRDefault="02818B17" w14:paraId="49781A4D" w14:textId="0C213BFB">
      <w:pPr>
        <w:spacing w:before="0" w:beforeAutospacing="off" w:after="0" w:afterAutospacing="off"/>
        <w:jc w:val="both"/>
      </w:pPr>
      <w:r w:rsidRPr="77533413" w:rsidR="02818B17">
        <w:rPr>
          <w:rFonts w:ascii="Calibri" w:hAnsi="Calibri" w:eastAsia="Calibri" w:cs="Calibri"/>
          <w:noProof w:val="0"/>
          <w:sz w:val="22"/>
          <w:szCs w:val="22"/>
          <w:lang w:val="ro"/>
        </w:rPr>
        <w:t>b) data și ora înregistrării dosarului de candidatură</w:t>
      </w:r>
      <w:r w:rsidRPr="77533413" w:rsidR="21729325">
        <w:rPr>
          <w:rFonts w:ascii="Calibri" w:hAnsi="Calibri" w:eastAsia="Calibri" w:cs="Calibri"/>
          <w:noProof w:val="0"/>
          <w:sz w:val="22"/>
          <w:szCs w:val="22"/>
          <w:lang w:val="ro"/>
        </w:rPr>
        <w:t>.</w:t>
      </w:r>
    </w:p>
    <w:p w:rsidR="02818B17" w:rsidP="77533413" w:rsidRDefault="02818B17" w14:paraId="35954AEE" w14:textId="73F871E2">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60419CD7" w14:textId="1A624537">
      <w:pPr>
        <w:spacing w:before="0" w:beforeAutospacing="off" w:after="0" w:afterAutospacing="off"/>
        <w:jc w:val="both"/>
        <w:rPr>
          <w:rFonts w:ascii="Calibri" w:hAnsi="Calibri" w:eastAsia="Calibri" w:cs="Calibri"/>
          <w:noProof w:val="0"/>
          <w:sz w:val="22"/>
          <w:szCs w:val="22"/>
          <w:lang w:val="ro"/>
        </w:rPr>
      </w:pPr>
      <w:r w:rsidRPr="77533413" w:rsidR="02818B17">
        <w:rPr>
          <w:rFonts w:ascii="Calibri" w:hAnsi="Calibri" w:eastAsia="Calibri" w:cs="Calibri"/>
          <w:noProof w:val="0"/>
          <w:sz w:val="22"/>
          <w:szCs w:val="22"/>
          <w:lang w:val="ro"/>
        </w:rPr>
        <w:t>6.6 Rezultatele finale ale evaluării vor fi centralizate într-un Raport al Comisiei de evaluare și selecție, cuprinzând lista candidaților admiși, lista candidaților rezervă și lista candidaților respinși.</w:t>
      </w:r>
      <w:r>
        <w:br/>
      </w:r>
      <w:r w:rsidRPr="77533413" w:rsidR="02818B17">
        <w:rPr>
          <w:rFonts w:ascii="Calibri" w:hAnsi="Calibri" w:eastAsia="Calibri" w:cs="Calibri"/>
          <w:noProof w:val="0"/>
          <w:sz w:val="22"/>
          <w:szCs w:val="22"/>
          <w:lang w:val="ro"/>
        </w:rPr>
        <w:t xml:space="preserve"> </w:t>
      </w:r>
      <w:r>
        <w:br/>
      </w:r>
    </w:p>
    <w:p w:rsidR="02818B17" w:rsidP="77533413" w:rsidRDefault="02818B17" w14:paraId="5714C76D" w14:textId="74F5CE8B">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7. Rezultatele selecției</w:t>
      </w:r>
    </w:p>
    <w:p w:rsidR="02818B17" w:rsidP="77533413" w:rsidRDefault="02818B17" w14:paraId="0EC1CE6D" w14:textId="3E4CFF97">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563FFC8F" w14:textId="374F22F1">
      <w:pPr>
        <w:spacing w:before="0" w:beforeAutospacing="off" w:after="0" w:afterAutospacing="off"/>
        <w:jc w:val="both"/>
      </w:pPr>
      <w:r w:rsidRPr="77533413" w:rsidR="02818B17">
        <w:rPr>
          <w:rFonts w:ascii="Calibri" w:hAnsi="Calibri" w:eastAsia="Calibri" w:cs="Calibri"/>
          <w:noProof w:val="0"/>
          <w:sz w:val="22"/>
          <w:szCs w:val="22"/>
          <w:lang w:val="ro"/>
        </w:rPr>
        <w:t xml:space="preserve">7.1 Lista studenților admiși, rezervă și a celor respinși în urma procesului de evaluare și selecție va fi </w:t>
      </w:r>
    </w:p>
    <w:p w:rsidR="02818B17" w:rsidP="77533413" w:rsidRDefault="02818B17" w14:paraId="0BDD382F" w14:textId="3DF3FDC8">
      <w:pPr>
        <w:spacing w:before="0" w:beforeAutospacing="off" w:after="0" w:afterAutospacing="off"/>
        <w:jc w:val="both"/>
        <w:rPr>
          <w:rFonts w:ascii="Calibri" w:hAnsi="Calibri" w:eastAsia="Calibri" w:cs="Calibri"/>
          <w:noProof w:val="0"/>
          <w:sz w:val="22"/>
          <w:szCs w:val="22"/>
          <w:lang w:val="ro"/>
        </w:rPr>
      </w:pPr>
      <w:r w:rsidRPr="77533413" w:rsidR="02818B17">
        <w:rPr>
          <w:rFonts w:ascii="Calibri" w:hAnsi="Calibri" w:eastAsia="Calibri" w:cs="Calibri"/>
          <w:noProof w:val="0"/>
          <w:sz w:val="22"/>
          <w:szCs w:val="22"/>
          <w:lang w:val="ro"/>
        </w:rPr>
        <w:t>publicată pe site-ul oficial al proiectului și la avizierele facultăților implicate, în termen de maximum 5 zile lucrătoare de la finalizarea evaluării dosarelor.</w:t>
      </w:r>
      <w:r>
        <w:br/>
      </w:r>
      <w:r w:rsidRPr="77533413" w:rsidR="02818B17">
        <w:rPr>
          <w:rFonts w:ascii="Calibri" w:hAnsi="Calibri" w:eastAsia="Calibri" w:cs="Calibri"/>
          <w:noProof w:val="0"/>
          <w:sz w:val="22"/>
          <w:szCs w:val="22"/>
          <w:lang w:val="ro"/>
        </w:rPr>
        <w:t xml:space="preserve"> </w:t>
      </w:r>
      <w:r>
        <w:br/>
      </w:r>
      <w:r w:rsidRPr="77533413" w:rsidR="02818B17">
        <w:rPr>
          <w:rFonts w:ascii="Calibri" w:hAnsi="Calibri" w:eastAsia="Calibri" w:cs="Calibri"/>
          <w:noProof w:val="0"/>
          <w:sz w:val="22"/>
          <w:szCs w:val="22"/>
          <w:lang w:val="ro"/>
        </w:rPr>
        <w:t xml:space="preserve">7.2 Rezultatele vor fi comunicate și individual fiecărui candidat, prin e-mail, la adresa indicată în formularul de înscriere. Comunicarea electronică reprezintă confirmarea oficială a statutului candidatului. </w:t>
      </w:r>
    </w:p>
    <w:p w:rsidR="02818B17" w:rsidP="77533413" w:rsidRDefault="02818B17" w14:paraId="740CDD35" w14:textId="313A298B">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38CE929E" w14:textId="738E6354">
      <w:pPr>
        <w:spacing w:before="0" w:beforeAutospacing="off" w:after="0" w:afterAutospacing="off"/>
        <w:jc w:val="both"/>
      </w:pPr>
      <w:r w:rsidRPr="77533413" w:rsidR="02818B17">
        <w:rPr>
          <w:rFonts w:ascii="Calibri" w:hAnsi="Calibri" w:eastAsia="Calibri" w:cs="Calibri"/>
          <w:noProof w:val="0"/>
          <w:sz w:val="22"/>
          <w:szCs w:val="22"/>
          <w:lang w:val="ro"/>
        </w:rPr>
        <w:t>7.3 În urma procedurii de selecție, fiecare aplicant se va încadra în una dintre următoarele categorii:</w:t>
      </w:r>
    </w:p>
    <w:p w:rsidR="02818B17" w:rsidP="77533413" w:rsidRDefault="02818B17" w14:paraId="01BB27FB" w14:textId="01CFFC33">
      <w:pPr>
        <w:spacing w:before="0" w:beforeAutospacing="off" w:after="0" w:afterAutospacing="off"/>
        <w:jc w:val="both"/>
      </w:pPr>
      <w:r w:rsidRPr="77533413" w:rsidR="02818B17">
        <w:rPr>
          <w:rFonts w:ascii="Calibri" w:hAnsi="Calibri" w:eastAsia="Calibri" w:cs="Calibri"/>
          <w:noProof w:val="0"/>
          <w:sz w:val="22"/>
          <w:szCs w:val="22"/>
          <w:lang w:val="ro"/>
        </w:rPr>
        <w:t xml:space="preserve">a) </w:t>
      </w:r>
      <w:r w:rsidRPr="77533413" w:rsidR="02818B17">
        <w:rPr>
          <w:rFonts w:ascii="Calibri" w:hAnsi="Calibri" w:eastAsia="Calibri" w:cs="Calibri"/>
          <w:b w:val="1"/>
          <w:bCs w:val="1"/>
          <w:noProof w:val="0"/>
          <w:sz w:val="22"/>
          <w:szCs w:val="22"/>
          <w:lang w:val="ro"/>
        </w:rPr>
        <w:t>Admis</w:t>
      </w:r>
      <w:r w:rsidRPr="77533413" w:rsidR="02818B17">
        <w:rPr>
          <w:rFonts w:ascii="Calibri" w:hAnsi="Calibri" w:eastAsia="Calibri" w:cs="Calibri"/>
          <w:noProof w:val="0"/>
          <w:sz w:val="22"/>
          <w:szCs w:val="22"/>
          <w:lang w:val="ro"/>
        </w:rPr>
        <w:t xml:space="preserve"> – candidați care îndeplinesc toate condițiile de eligibilitate și se încadrează în numărul de locuri disponibile stabilit prin proiect;</w:t>
      </w:r>
    </w:p>
    <w:p w:rsidR="02818B17" w:rsidP="77533413" w:rsidRDefault="02818B17" w14:paraId="7E8832E9" w14:textId="3BBF7F13">
      <w:pPr>
        <w:spacing w:before="0" w:beforeAutospacing="off" w:after="0" w:afterAutospacing="off"/>
        <w:jc w:val="both"/>
      </w:pPr>
      <w:r w:rsidRPr="77533413" w:rsidR="02818B17">
        <w:rPr>
          <w:rFonts w:ascii="Calibri" w:hAnsi="Calibri" w:eastAsia="Calibri" w:cs="Calibri"/>
          <w:noProof w:val="0"/>
          <w:sz w:val="22"/>
          <w:szCs w:val="22"/>
          <w:lang w:val="ro"/>
        </w:rPr>
        <w:t xml:space="preserve">b) </w:t>
      </w:r>
      <w:r w:rsidRPr="77533413" w:rsidR="02818B17">
        <w:rPr>
          <w:rFonts w:ascii="Calibri" w:hAnsi="Calibri" w:eastAsia="Calibri" w:cs="Calibri"/>
          <w:b w:val="1"/>
          <w:bCs w:val="1"/>
          <w:noProof w:val="0"/>
          <w:sz w:val="22"/>
          <w:szCs w:val="22"/>
          <w:lang w:val="ro"/>
        </w:rPr>
        <w:t>Rezervă</w:t>
      </w:r>
      <w:r w:rsidRPr="77533413" w:rsidR="02818B17">
        <w:rPr>
          <w:rFonts w:ascii="Calibri" w:hAnsi="Calibri" w:eastAsia="Calibri" w:cs="Calibri"/>
          <w:noProof w:val="0"/>
          <w:sz w:val="22"/>
          <w:szCs w:val="22"/>
          <w:lang w:val="ro"/>
        </w:rPr>
        <w:t xml:space="preserve"> – candidați care îndeplinesc condițiile de eligibilitate și au depus documentația completă, dar care nu se încadrează în limita locurilor disponibile, conform ierarhizării finale; </w:t>
      </w:r>
    </w:p>
    <w:p w:rsidR="02818B17" w:rsidP="77533413" w:rsidRDefault="02818B17" w14:paraId="1E86A918" w14:textId="4E7D1C01">
      <w:pPr>
        <w:spacing w:before="0" w:beforeAutospacing="off" w:after="0" w:afterAutospacing="off"/>
        <w:jc w:val="both"/>
      </w:pPr>
      <w:r w:rsidRPr="77533413" w:rsidR="02818B17">
        <w:rPr>
          <w:rFonts w:ascii="Calibri" w:hAnsi="Calibri" w:eastAsia="Calibri" w:cs="Calibri"/>
          <w:noProof w:val="0"/>
          <w:sz w:val="22"/>
          <w:szCs w:val="22"/>
          <w:lang w:val="ro"/>
        </w:rPr>
        <w:t xml:space="preserve">c) </w:t>
      </w:r>
      <w:r w:rsidRPr="77533413" w:rsidR="02818B17">
        <w:rPr>
          <w:rFonts w:ascii="Calibri" w:hAnsi="Calibri" w:eastAsia="Calibri" w:cs="Calibri"/>
          <w:b w:val="1"/>
          <w:bCs w:val="1"/>
          <w:noProof w:val="0"/>
          <w:sz w:val="22"/>
          <w:szCs w:val="22"/>
          <w:lang w:val="ro"/>
        </w:rPr>
        <w:t>Respins</w:t>
      </w:r>
      <w:r w:rsidRPr="77533413" w:rsidR="02818B17">
        <w:rPr>
          <w:rFonts w:ascii="Calibri" w:hAnsi="Calibri" w:eastAsia="Calibri" w:cs="Calibri"/>
          <w:noProof w:val="0"/>
          <w:sz w:val="22"/>
          <w:szCs w:val="22"/>
          <w:lang w:val="ro"/>
        </w:rPr>
        <w:t xml:space="preserve"> – candidați care nu îndeplinesc condițiile de eligibilitate sau au depus dosare incomplete ori incorecte. </w:t>
      </w:r>
    </w:p>
    <w:p w:rsidR="02818B17" w:rsidP="77533413" w:rsidRDefault="02818B17" w14:paraId="542C50D2" w14:textId="6BE3EA61">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2335F4E1" w14:textId="3C7250C7">
      <w:pPr>
        <w:spacing w:before="0" w:beforeAutospacing="off" w:after="0" w:afterAutospacing="off"/>
        <w:jc w:val="both"/>
      </w:pPr>
      <w:r w:rsidRPr="77533413" w:rsidR="02818B17">
        <w:rPr>
          <w:rFonts w:ascii="Calibri" w:hAnsi="Calibri" w:eastAsia="Calibri" w:cs="Calibri"/>
          <w:noProof w:val="0"/>
          <w:sz w:val="22"/>
          <w:szCs w:val="22"/>
          <w:lang w:val="ro"/>
        </w:rPr>
        <w:t>7.4 Listele cu rezultatele inițiale ale selecției vor fi afișate sub formă codificată, folosindu-se un cod unic alocat fiecărui candidat, pentru respectarea Regulamentului (UE) 2016/679 (GDPR) privind protecția datelor cu caracter personal.</w:t>
      </w:r>
    </w:p>
    <w:p w:rsidR="02818B17" w:rsidP="77533413" w:rsidRDefault="02818B17" w14:paraId="2EAB7E61" w14:textId="741149D9">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3A100F2C" w14:textId="7B5A3C00">
      <w:pPr>
        <w:spacing w:before="0" w:beforeAutospacing="off" w:after="0" w:afterAutospacing="off"/>
        <w:jc w:val="both"/>
      </w:pPr>
      <w:r w:rsidRPr="77533413" w:rsidR="02818B17">
        <w:rPr>
          <w:rFonts w:ascii="Calibri" w:hAnsi="Calibri" w:eastAsia="Calibri" w:cs="Calibri"/>
          <w:noProof w:val="0"/>
          <w:sz w:val="22"/>
          <w:szCs w:val="22"/>
          <w:lang w:val="ro"/>
        </w:rPr>
        <w:t>7.5 Pentru a gestiona riscul de neîndeplinire a indicatorului de rezultat  asumat prin cererea de finanțare (280 de studenți),  lista de rezervă va fi dimensionată pentru a include candidați care, prin ierarhizare, ocupă următoarele 28 de locuri (10% din grupul țintă). Acești candidați vor fi incluși în activitățile proiectului doar în ordinea ierarhizării și doar în situația în care studenții admiși renunță sau sunt excluși.</w:t>
      </w:r>
    </w:p>
    <w:p w:rsidR="02818B17" w:rsidP="77533413" w:rsidRDefault="02818B17" w14:paraId="5146DD91" w14:textId="01DFC09A">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47115148" w14:textId="110408BE">
      <w:pPr>
        <w:spacing w:before="0" w:beforeAutospacing="off" w:after="0" w:afterAutospacing="off"/>
        <w:jc w:val="both"/>
      </w:pPr>
      <w:r w:rsidRPr="77533413" w:rsidR="02818B17">
        <w:rPr>
          <w:rFonts w:ascii="Calibri" w:hAnsi="Calibri" w:eastAsia="Calibri" w:cs="Calibri"/>
          <w:noProof w:val="0"/>
          <w:sz w:val="22"/>
          <w:szCs w:val="22"/>
          <w:lang w:val="ro"/>
        </w:rPr>
        <w:t>7.6 În situația în care un student admis renunță, se retrage sau își pierde calitatea de membru al grupului țintă din motive obiective, locul său va fi ocupat de primul candidat aflat pe lista de rezervă, conform ordinii ierarhice. Studenții au obligația de a anunța în scris retragerea din proiect, dacă apare acest caz.</w:t>
      </w:r>
    </w:p>
    <w:p w:rsidR="02818B17" w:rsidP="77533413" w:rsidRDefault="02818B17" w14:paraId="113DB7C5" w14:textId="068F0548">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69803FA0" w14:textId="1695CDF5">
      <w:pPr>
        <w:spacing w:before="0" w:beforeAutospacing="off" w:after="0" w:afterAutospacing="off"/>
        <w:jc w:val="both"/>
      </w:pPr>
      <w:r w:rsidRPr="77533413" w:rsidR="02818B17">
        <w:rPr>
          <w:rFonts w:ascii="Calibri" w:hAnsi="Calibri" w:eastAsia="Calibri" w:cs="Calibri"/>
          <w:noProof w:val="0"/>
          <w:sz w:val="22"/>
          <w:szCs w:val="22"/>
          <w:lang w:val="ro"/>
        </w:rPr>
        <w:t>7.7 Studenții selectați au obligația de a anunța în scris, prin e-mail sau cerere semnată, intenția de retragere din proiect, în termen de cel mult 5 zile lucrătoare de la apariția situației care determină renunțarea.</w:t>
      </w:r>
    </w:p>
    <w:p w:rsidR="02818B17" w:rsidP="77533413" w:rsidRDefault="02818B17" w14:paraId="57F5DB70" w14:textId="54235D58">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270BC493" w14:textId="73E428A2">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8. Contestații</w:t>
      </w:r>
    </w:p>
    <w:p w:rsidR="02818B17" w:rsidP="77533413" w:rsidRDefault="02818B17" w14:paraId="75813114" w14:textId="250E44F7">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5C592981" w14:textId="040175CC">
      <w:pPr>
        <w:spacing w:before="0" w:beforeAutospacing="off" w:after="0" w:afterAutospacing="off"/>
        <w:jc w:val="both"/>
      </w:pPr>
      <w:r w:rsidRPr="77533413" w:rsidR="02818B17">
        <w:rPr>
          <w:rFonts w:ascii="Calibri" w:hAnsi="Calibri" w:eastAsia="Calibri" w:cs="Calibri"/>
          <w:noProof w:val="0"/>
          <w:sz w:val="22"/>
          <w:szCs w:val="22"/>
          <w:lang w:val="ro"/>
        </w:rPr>
        <w:t xml:space="preserve">8.1 Studenții declarați respinși în urma procesului de evaluare și selecție pot depune contestație în termen de 2 zile lucrătoare de la data publicării rezultatelor pe site-ul proiectului. </w:t>
      </w:r>
    </w:p>
    <w:p w:rsidR="02818B17" w:rsidP="77533413" w:rsidRDefault="02818B17" w14:paraId="6362A5C4" w14:textId="09E84304">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3D918AAC" w14:textId="5820C617">
      <w:pPr>
        <w:spacing w:before="0" w:beforeAutospacing="off" w:after="0" w:afterAutospacing="off"/>
        <w:jc w:val="both"/>
      </w:pPr>
      <w:r w:rsidRPr="77533413" w:rsidR="02818B17">
        <w:rPr>
          <w:rFonts w:ascii="Calibri" w:hAnsi="Calibri" w:eastAsia="Calibri" w:cs="Calibri"/>
          <w:noProof w:val="0"/>
          <w:sz w:val="22"/>
          <w:szCs w:val="22"/>
          <w:lang w:val="ro"/>
        </w:rPr>
        <w:t xml:space="preserve">8.2 Contestațiile se transmit în format electronic la adresa oficială de e-mail din Anunțul de selecție, </w:t>
      </w:r>
    </w:p>
    <w:p w:rsidR="02818B17" w:rsidP="77533413" w:rsidRDefault="02818B17" w14:paraId="023CD1C1" w14:textId="2C2D51FF">
      <w:pPr>
        <w:spacing w:before="0" w:beforeAutospacing="off" w:after="0" w:afterAutospacing="off"/>
        <w:jc w:val="both"/>
      </w:pPr>
      <w:r w:rsidRPr="77533413" w:rsidR="02818B17">
        <w:rPr>
          <w:rFonts w:ascii="Calibri" w:hAnsi="Calibri" w:eastAsia="Calibri" w:cs="Calibri"/>
          <w:noProof w:val="0"/>
          <w:sz w:val="22"/>
          <w:szCs w:val="22"/>
          <w:lang w:val="ro"/>
        </w:rPr>
        <w:t xml:space="preserve">în atenția Comisiei de contestații. </w:t>
      </w:r>
    </w:p>
    <w:p w:rsidR="02818B17" w:rsidP="77533413" w:rsidRDefault="02818B17" w14:paraId="7A8ED196" w14:textId="67F0E907">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3F9DE5A8" w14:textId="30C0F42A">
      <w:pPr>
        <w:spacing w:before="0" w:beforeAutospacing="off" w:after="0" w:afterAutospacing="off"/>
        <w:jc w:val="both"/>
      </w:pPr>
      <w:r w:rsidRPr="77533413" w:rsidR="02818B17">
        <w:rPr>
          <w:rFonts w:ascii="Calibri" w:hAnsi="Calibri" w:eastAsia="Calibri" w:cs="Calibri"/>
          <w:noProof w:val="0"/>
          <w:sz w:val="22"/>
          <w:szCs w:val="22"/>
          <w:lang w:val="ro"/>
        </w:rPr>
        <w:t xml:space="preserve">8.3 Contestația trebuie să conțină: </w:t>
      </w:r>
    </w:p>
    <w:p w:rsidR="02818B17" w:rsidP="77533413" w:rsidRDefault="02818B17" w14:paraId="67B7638B" w14:textId="59A2B6A2">
      <w:pPr>
        <w:spacing w:before="0" w:beforeAutospacing="off" w:after="0" w:afterAutospacing="off"/>
        <w:jc w:val="both"/>
      </w:pPr>
      <w:r w:rsidRPr="77533413" w:rsidR="02818B17">
        <w:rPr>
          <w:rFonts w:ascii="Calibri" w:hAnsi="Calibri" w:eastAsia="Calibri" w:cs="Calibri"/>
          <w:noProof w:val="0"/>
          <w:sz w:val="22"/>
          <w:szCs w:val="22"/>
          <w:lang w:val="ro"/>
        </w:rPr>
        <w:t xml:space="preserve">a) datele de identificare ale candidatului (nume, prenume, cod unic de înscriere, facultate); </w:t>
      </w:r>
    </w:p>
    <w:p w:rsidR="02818B17" w:rsidP="77533413" w:rsidRDefault="02818B17" w14:paraId="63075DD1" w14:textId="109E6B66">
      <w:pPr>
        <w:spacing w:before="0" w:beforeAutospacing="off" w:after="0" w:afterAutospacing="off"/>
        <w:jc w:val="both"/>
      </w:pPr>
      <w:r w:rsidRPr="77533413" w:rsidR="02818B17">
        <w:rPr>
          <w:rFonts w:ascii="Calibri" w:hAnsi="Calibri" w:eastAsia="Calibri" w:cs="Calibri"/>
          <w:noProof w:val="0"/>
          <w:sz w:val="22"/>
          <w:szCs w:val="22"/>
          <w:lang w:val="ro"/>
        </w:rPr>
        <w:t xml:space="preserve">b) obiectul contestației (motivația respingerii contestate); </w:t>
      </w:r>
    </w:p>
    <w:p w:rsidR="02818B17" w:rsidP="77533413" w:rsidRDefault="02818B17" w14:paraId="117AB4A6" w14:textId="123F72DD">
      <w:pPr>
        <w:spacing w:before="0" w:beforeAutospacing="off" w:after="0" w:afterAutospacing="off"/>
        <w:jc w:val="both"/>
      </w:pPr>
      <w:r w:rsidRPr="77533413" w:rsidR="02818B17">
        <w:rPr>
          <w:rFonts w:ascii="Calibri" w:hAnsi="Calibri" w:eastAsia="Calibri" w:cs="Calibri"/>
          <w:noProof w:val="0"/>
          <w:sz w:val="22"/>
          <w:szCs w:val="22"/>
          <w:lang w:val="ro"/>
        </w:rPr>
        <w:t xml:space="preserve">c) argumentele și documentele justificative, dacă este cazul; </w:t>
      </w:r>
    </w:p>
    <w:p w:rsidR="02818B17" w:rsidP="77533413" w:rsidRDefault="02818B17" w14:paraId="2A43C474" w14:textId="0755F523">
      <w:pPr>
        <w:spacing w:before="0" w:beforeAutospacing="off" w:after="0" w:afterAutospacing="off"/>
        <w:jc w:val="both"/>
      </w:pPr>
      <w:r w:rsidRPr="77533413" w:rsidR="02818B17">
        <w:rPr>
          <w:rFonts w:ascii="Calibri" w:hAnsi="Calibri" w:eastAsia="Calibri" w:cs="Calibri"/>
          <w:noProof w:val="0"/>
          <w:sz w:val="22"/>
          <w:szCs w:val="22"/>
          <w:lang w:val="ro"/>
        </w:rPr>
        <w:t xml:space="preserve">d) data și semnătura olografă sau digitală a studentului. </w:t>
      </w:r>
    </w:p>
    <w:p w:rsidR="02818B17" w:rsidP="77533413" w:rsidRDefault="02818B17" w14:paraId="2049DC80" w14:textId="0356680A">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56265258" w14:textId="4CD3B4B5">
      <w:pPr>
        <w:spacing w:before="0" w:beforeAutospacing="off" w:after="0" w:afterAutospacing="off"/>
        <w:jc w:val="both"/>
      </w:pPr>
      <w:r w:rsidRPr="77533413" w:rsidR="02818B17">
        <w:rPr>
          <w:rFonts w:ascii="Calibri" w:hAnsi="Calibri" w:eastAsia="Calibri" w:cs="Calibri"/>
          <w:noProof w:val="0"/>
          <w:sz w:val="22"/>
          <w:szCs w:val="22"/>
          <w:lang w:val="ro"/>
        </w:rPr>
        <w:t xml:space="preserve">8.4 Contestațiile vor fi analizate de Comisia de contestații, structură distinctă de Comisia de evaluare, formată din: </w:t>
      </w:r>
    </w:p>
    <w:p w:rsidR="02818B17" w:rsidP="77533413" w:rsidRDefault="02818B17" w14:paraId="1D681DBF" w14:textId="7D09A3F3">
      <w:pPr>
        <w:pStyle w:val="ListParagraph"/>
        <w:numPr>
          <w:ilvl w:val="0"/>
          <w:numId w:val="10"/>
        </w:numPr>
        <w:spacing w:before="0" w:beforeAutospacing="off" w:after="0" w:afterAutospacing="off"/>
        <w:ind w:left="720" w:right="0" w:hanging="360"/>
        <w:jc w:val="both"/>
        <w:rPr>
          <w:rFonts w:ascii="Calibri" w:hAnsi="Calibri" w:eastAsia="Calibri" w:cs="Calibri"/>
          <w:noProof w:val="0"/>
          <w:sz w:val="20"/>
          <w:szCs w:val="20"/>
          <w:lang w:val="ro"/>
        </w:rPr>
      </w:pPr>
      <w:r w:rsidRPr="77533413" w:rsidR="02818B17">
        <w:rPr>
          <w:rFonts w:ascii="Calibri" w:hAnsi="Calibri" w:eastAsia="Calibri" w:cs="Calibri"/>
          <w:noProof w:val="0"/>
          <w:sz w:val="20"/>
          <w:szCs w:val="20"/>
          <w:lang w:val="ro"/>
        </w:rPr>
        <w:t xml:space="preserve">1 reprezentant al echipei de management; </w:t>
      </w:r>
    </w:p>
    <w:p w:rsidR="02818B17" w:rsidP="77533413" w:rsidRDefault="02818B17" w14:paraId="78709259" w14:textId="1E9A4903">
      <w:pPr>
        <w:pStyle w:val="ListParagraph"/>
        <w:numPr>
          <w:ilvl w:val="0"/>
          <w:numId w:val="10"/>
        </w:numPr>
        <w:spacing w:before="0" w:beforeAutospacing="off" w:after="0" w:afterAutospacing="off"/>
        <w:ind w:left="720" w:right="0" w:hanging="360"/>
        <w:jc w:val="both"/>
        <w:rPr>
          <w:rFonts w:ascii="Calibri" w:hAnsi="Calibri" w:eastAsia="Calibri" w:cs="Calibri"/>
          <w:noProof w:val="0"/>
          <w:sz w:val="20"/>
          <w:szCs w:val="20"/>
          <w:lang w:val="ro"/>
        </w:rPr>
      </w:pPr>
      <w:r w:rsidRPr="77533413" w:rsidR="02818B17">
        <w:rPr>
          <w:rFonts w:ascii="Calibri" w:hAnsi="Calibri" w:eastAsia="Calibri" w:cs="Calibri"/>
          <w:noProof w:val="0"/>
          <w:sz w:val="20"/>
          <w:szCs w:val="20"/>
          <w:lang w:val="ro"/>
        </w:rPr>
        <w:t xml:space="preserve">1 coordonator de practică (diferit de cel care a evaluat dosarul); </w:t>
      </w:r>
    </w:p>
    <w:p w:rsidR="02818B17" w:rsidP="77533413" w:rsidRDefault="02818B17" w14:paraId="192809C3" w14:textId="6BFB29B3">
      <w:pPr>
        <w:pStyle w:val="ListParagraph"/>
        <w:numPr>
          <w:ilvl w:val="0"/>
          <w:numId w:val="10"/>
        </w:numPr>
        <w:spacing w:before="0" w:beforeAutospacing="off" w:after="0" w:afterAutospacing="off"/>
        <w:ind w:left="720" w:right="0" w:hanging="360"/>
        <w:jc w:val="both"/>
        <w:rPr>
          <w:rFonts w:ascii="Calibri" w:hAnsi="Calibri" w:eastAsia="Calibri" w:cs="Calibri"/>
          <w:noProof w:val="0"/>
          <w:sz w:val="22"/>
          <w:szCs w:val="22"/>
          <w:lang w:val="ro"/>
        </w:rPr>
      </w:pPr>
      <w:r w:rsidRPr="77533413" w:rsidR="02818B17">
        <w:rPr>
          <w:rFonts w:ascii="Calibri" w:hAnsi="Calibri" w:eastAsia="Calibri" w:cs="Calibri"/>
          <w:noProof w:val="0"/>
          <w:sz w:val="20"/>
          <w:szCs w:val="20"/>
          <w:lang w:val="ro"/>
        </w:rPr>
        <w:t>1 expert de practică</w:t>
      </w:r>
      <w:r w:rsidRPr="77533413" w:rsidR="719DE35B">
        <w:rPr>
          <w:rFonts w:ascii="Calibri" w:hAnsi="Calibri" w:eastAsia="Calibri" w:cs="Calibri"/>
          <w:noProof w:val="0"/>
          <w:sz w:val="20"/>
          <w:szCs w:val="20"/>
          <w:lang w:val="ro"/>
        </w:rPr>
        <w:t xml:space="preserve"> (diferit de cel care a evaluat dosarul)</w:t>
      </w:r>
      <w:r w:rsidRPr="77533413" w:rsidR="02818B17">
        <w:rPr>
          <w:rFonts w:ascii="Calibri" w:hAnsi="Calibri" w:eastAsia="Calibri" w:cs="Calibri"/>
          <w:noProof w:val="0"/>
          <w:sz w:val="20"/>
          <w:szCs w:val="20"/>
          <w:lang w:val="ro"/>
        </w:rPr>
        <w:t xml:space="preserve">. </w:t>
      </w:r>
    </w:p>
    <w:p w:rsidR="02818B17" w:rsidP="77533413" w:rsidRDefault="02818B17" w14:paraId="2C64A5DA" w14:textId="4D38B1A9">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75F3215A" w14:textId="797CBBA5">
      <w:pPr>
        <w:spacing w:before="0" w:beforeAutospacing="off" w:after="0" w:afterAutospacing="off"/>
        <w:jc w:val="both"/>
      </w:pPr>
      <w:r w:rsidRPr="77533413" w:rsidR="02818B17">
        <w:rPr>
          <w:rFonts w:ascii="Calibri" w:hAnsi="Calibri" w:eastAsia="Calibri" w:cs="Calibri"/>
          <w:noProof w:val="0"/>
          <w:sz w:val="22"/>
          <w:szCs w:val="22"/>
          <w:lang w:val="ro"/>
        </w:rPr>
        <w:t xml:space="preserve">8.5 Comisia de contestații va soluționa sesizările în termen de maximum 2 zile lucrătoare de la expirarea perioadei de depunere. Decizia Comisiei este finală și irevocabilă. </w:t>
      </w:r>
    </w:p>
    <w:p w:rsidR="02818B17" w:rsidP="77533413" w:rsidRDefault="02818B17" w14:paraId="07139B0F" w14:textId="5722640E">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458471FB" w14:textId="0DC8D50C">
      <w:pPr>
        <w:spacing w:before="0" w:beforeAutospacing="off" w:after="0" w:afterAutospacing="off"/>
        <w:jc w:val="both"/>
      </w:pPr>
      <w:r w:rsidRPr="77533413" w:rsidR="02818B17">
        <w:rPr>
          <w:rFonts w:ascii="Calibri" w:hAnsi="Calibri" w:eastAsia="Calibri" w:cs="Calibri"/>
          <w:noProof w:val="0"/>
          <w:sz w:val="22"/>
          <w:szCs w:val="22"/>
          <w:lang w:val="ro"/>
        </w:rPr>
        <w:t>8.6 Rezultatele contestațiilor vor fi comunicate prin e-mail și afișate pe site-ul proiectului, cu respectarea prevederilor GDPR.</w:t>
      </w:r>
    </w:p>
    <w:p w:rsidR="02818B17" w:rsidP="77533413" w:rsidRDefault="02818B17" w14:paraId="0667BF15" w14:textId="631BA07E">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 xml:space="preserve"> </w:t>
      </w:r>
    </w:p>
    <w:p w:rsidR="02818B17" w:rsidP="77533413" w:rsidRDefault="02818B17" w14:paraId="249BEA89" w14:textId="38518C02">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9. Obligațiile studenților selectați</w:t>
      </w:r>
    </w:p>
    <w:p w:rsidR="02818B17" w:rsidP="77533413" w:rsidRDefault="02818B17" w14:paraId="48A9D731" w14:textId="78388A18">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2A8DC4D5" w14:textId="6AD83E73">
      <w:pPr>
        <w:spacing w:before="0" w:beforeAutospacing="off" w:after="0" w:afterAutospacing="off"/>
        <w:jc w:val="both"/>
      </w:pPr>
      <w:r w:rsidRPr="77533413" w:rsidR="02818B17">
        <w:rPr>
          <w:rFonts w:ascii="Calibri" w:hAnsi="Calibri" w:eastAsia="Calibri" w:cs="Calibri"/>
          <w:noProof w:val="0"/>
          <w:sz w:val="22"/>
          <w:szCs w:val="22"/>
          <w:lang w:val="ro"/>
        </w:rPr>
        <w:t xml:space="preserve">9.1 Studenții admiși în grupul țintă al proiectului „The Future Is Circular! Studenți pregătiți pentru un viitor verde” au următoarele obligații: </w:t>
      </w:r>
    </w:p>
    <w:p w:rsidR="02818B17" w:rsidP="77533413" w:rsidRDefault="02818B17" w14:paraId="42695FB6" w14:textId="08F46D57">
      <w:pPr>
        <w:spacing w:before="0" w:beforeAutospacing="off" w:after="0" w:afterAutospacing="off"/>
        <w:jc w:val="both"/>
      </w:pPr>
      <w:r w:rsidRPr="77533413" w:rsidR="02818B17">
        <w:rPr>
          <w:rFonts w:ascii="Calibri" w:hAnsi="Calibri" w:eastAsia="Calibri" w:cs="Calibri"/>
          <w:noProof w:val="0"/>
          <w:sz w:val="22"/>
          <w:szCs w:val="22"/>
          <w:lang w:val="ro"/>
        </w:rPr>
        <w:t xml:space="preserve">a) să participe la activitățile obligatorii din cadrul proiectului (stagii de practică și formarea socio-emoțională); </w:t>
      </w:r>
    </w:p>
    <w:p w:rsidR="02818B17" w:rsidP="77533413" w:rsidRDefault="02818B17" w14:paraId="61086FBA" w14:textId="02FB8B26">
      <w:pPr>
        <w:spacing w:before="0" w:beforeAutospacing="off" w:after="0" w:afterAutospacing="off"/>
        <w:jc w:val="both"/>
      </w:pPr>
      <w:r w:rsidRPr="77533413" w:rsidR="02818B17">
        <w:rPr>
          <w:rFonts w:ascii="Calibri" w:hAnsi="Calibri" w:eastAsia="Calibri" w:cs="Calibri"/>
          <w:noProof w:val="0"/>
          <w:sz w:val="22"/>
          <w:szCs w:val="22"/>
          <w:lang w:val="ro"/>
        </w:rPr>
        <w:t xml:space="preserve">b) să respecte regulamentele interne ale beneficiarului și instrucțiunile echipei de proiect; </w:t>
      </w:r>
    </w:p>
    <w:p w:rsidR="02818B17" w:rsidP="77533413" w:rsidRDefault="02818B17" w14:paraId="4994AA3B" w14:textId="4F7D36D5">
      <w:pPr>
        <w:spacing w:before="0" w:beforeAutospacing="off" w:after="0" w:afterAutospacing="off"/>
        <w:jc w:val="both"/>
      </w:pPr>
      <w:r w:rsidRPr="77533413" w:rsidR="02818B17">
        <w:rPr>
          <w:rFonts w:ascii="Calibri" w:hAnsi="Calibri" w:eastAsia="Calibri" w:cs="Calibri"/>
          <w:noProof w:val="0"/>
          <w:sz w:val="22"/>
          <w:szCs w:val="22"/>
          <w:lang w:val="ro"/>
        </w:rPr>
        <w:t xml:space="preserve">c) să furnizeze la timp toate documentele și datele necesare monitorizării, raportării și auditului proiectului; </w:t>
      </w:r>
    </w:p>
    <w:p w:rsidR="02818B17" w:rsidP="77533413" w:rsidRDefault="02818B17" w14:paraId="52172AA5" w14:textId="085F5297">
      <w:pPr>
        <w:spacing w:before="0" w:beforeAutospacing="off" w:after="0" w:afterAutospacing="off"/>
        <w:jc w:val="both"/>
      </w:pPr>
      <w:r w:rsidRPr="77533413" w:rsidR="02818B17">
        <w:rPr>
          <w:rFonts w:ascii="Calibri" w:hAnsi="Calibri" w:eastAsia="Calibri" w:cs="Calibri"/>
          <w:noProof w:val="0"/>
          <w:sz w:val="22"/>
          <w:szCs w:val="22"/>
          <w:lang w:val="ro"/>
        </w:rPr>
        <w:t xml:space="preserve">d) să adopte un comportament responsabil din perspectiva eticii universitare și a sustenabilității de mediu, contribuind la principiile economiei circulare promovate de proiect; </w:t>
      </w:r>
    </w:p>
    <w:p w:rsidR="02818B17" w:rsidP="77533413" w:rsidRDefault="02818B17" w14:paraId="375E1D76" w14:textId="5230FD85">
      <w:pPr>
        <w:spacing w:before="0" w:beforeAutospacing="off" w:after="0" w:afterAutospacing="off"/>
        <w:jc w:val="both"/>
      </w:pPr>
      <w:r w:rsidRPr="77533413" w:rsidR="02818B17">
        <w:rPr>
          <w:rFonts w:ascii="Calibri" w:hAnsi="Calibri" w:eastAsia="Calibri" w:cs="Calibri"/>
          <w:noProof w:val="0"/>
          <w:sz w:val="22"/>
          <w:szCs w:val="22"/>
          <w:lang w:val="ro"/>
        </w:rPr>
        <w:t xml:space="preserve">e) să completeze fișele de activitate, formularele de prezență, chestionarele de satisfacție și alte instrumente de monitorizare puse la dispoziție de echipa de proiect; </w:t>
      </w:r>
    </w:p>
    <w:p w:rsidR="02818B17" w:rsidP="77533413" w:rsidRDefault="02818B17" w14:paraId="4CB9D5BF" w14:textId="0D43D187">
      <w:pPr>
        <w:spacing w:before="0" w:beforeAutospacing="off" w:after="0" w:afterAutospacing="off"/>
        <w:jc w:val="both"/>
      </w:pPr>
      <w:r w:rsidRPr="77533413" w:rsidR="02818B17">
        <w:rPr>
          <w:rFonts w:ascii="Calibri" w:hAnsi="Calibri" w:eastAsia="Calibri" w:cs="Calibri"/>
          <w:noProof w:val="0"/>
          <w:sz w:val="22"/>
          <w:szCs w:val="22"/>
          <w:lang w:val="ro"/>
        </w:rPr>
        <w:t xml:space="preserve">f) să anunțe în scris expertul de practică în cazul apariției unor situații care pot afecta participarea la activități. </w:t>
      </w:r>
    </w:p>
    <w:p w:rsidR="02818B17" w:rsidP="77533413" w:rsidRDefault="02818B17" w14:paraId="325DE0C9" w14:textId="72E7262A">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6BE0EFF2" w14:textId="7BD357B0">
      <w:pPr>
        <w:spacing w:before="0" w:beforeAutospacing="off" w:after="0" w:afterAutospacing="off"/>
        <w:jc w:val="both"/>
      </w:pPr>
      <w:r w:rsidRPr="77533413" w:rsidR="02818B17">
        <w:rPr>
          <w:rFonts w:ascii="Calibri" w:hAnsi="Calibri" w:eastAsia="Calibri" w:cs="Calibri"/>
          <w:noProof w:val="0"/>
          <w:sz w:val="22"/>
          <w:szCs w:val="22"/>
          <w:lang w:val="ro"/>
        </w:rPr>
        <w:t xml:space="preserve">9.2 Nerespectarea obligațiilor menționate mai sus, absența nemotivată de la peste 25% din activitățile obligatorii sau refuzul repetat de a colabora cu echipa de proiect pot conduce la excluderea din grupul țintă și înlocuirea cu un alt student din lista de rezervă. </w:t>
      </w:r>
    </w:p>
    <w:p w:rsidR="02818B17" w:rsidP="77533413" w:rsidRDefault="02818B17" w14:paraId="634989BA" w14:textId="0E9ED6A7">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658AD65F" w14:textId="3A6AA9EB">
      <w:pPr>
        <w:spacing w:before="0" w:beforeAutospacing="off" w:after="0" w:afterAutospacing="off"/>
        <w:jc w:val="both"/>
      </w:pPr>
      <w:r w:rsidRPr="77533413" w:rsidR="02818B17">
        <w:rPr>
          <w:rFonts w:ascii="Calibri" w:hAnsi="Calibri" w:eastAsia="Calibri" w:cs="Calibri"/>
          <w:noProof w:val="0"/>
          <w:sz w:val="22"/>
          <w:szCs w:val="22"/>
          <w:lang w:val="ro"/>
        </w:rPr>
        <w:t>9.3 Studenții care finalizează activitățile de practică și formare în condițiile stabilite vor primi adeverințe de participare, care atestă competențele dobândite în cadrul proiectului.</w:t>
      </w:r>
    </w:p>
    <w:p w:rsidR="02818B17" w:rsidP="77533413" w:rsidRDefault="02818B17" w14:paraId="5A132233" w14:textId="3E2983DB">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4F506D03" w14:textId="5C27B693">
      <w:pPr>
        <w:pStyle w:val="Heading2"/>
        <w:spacing w:before="0" w:beforeAutospacing="off" w:after="0" w:afterAutospacing="off"/>
      </w:pPr>
      <w:r w:rsidRPr="77533413" w:rsidR="02818B17">
        <w:rPr>
          <w:rFonts w:ascii="Calibri Light" w:hAnsi="Calibri Light" w:eastAsia="Calibri Light" w:cs="Calibri Light"/>
          <w:b w:val="1"/>
          <w:bCs w:val="1"/>
          <w:noProof w:val="0"/>
          <w:color w:val="5B9BD5" w:themeColor="accent1" w:themeTint="FF" w:themeShade="FF"/>
          <w:sz w:val="26"/>
          <w:szCs w:val="26"/>
          <w:lang w:val="ro-RO"/>
        </w:rPr>
        <w:t>10. Dispoziții finale</w:t>
      </w:r>
    </w:p>
    <w:p w:rsidR="02818B17" w:rsidP="77533413" w:rsidRDefault="02818B17" w14:paraId="132C9A65" w14:textId="3F21D4D6">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0A6A08DB" w14:textId="36F06D0B">
      <w:pPr>
        <w:spacing w:before="0" w:beforeAutospacing="off" w:after="0" w:afterAutospacing="off"/>
        <w:jc w:val="both"/>
      </w:pPr>
      <w:r w:rsidRPr="77533413" w:rsidR="02818B17">
        <w:rPr>
          <w:rFonts w:ascii="Calibri" w:hAnsi="Calibri" w:eastAsia="Calibri" w:cs="Calibri"/>
          <w:noProof w:val="0"/>
          <w:sz w:val="22"/>
          <w:szCs w:val="22"/>
          <w:lang w:val="ro"/>
        </w:rPr>
        <w:t>10.1 Toate documentele aferente metodologiei de selecție a grupului țintă fac parte integrantă din documentația oficială a proiectului și vor fi gestionate, arhivate și păstrate conform cerințelor finanțatorului și legislației naționale în vigoare.</w:t>
      </w:r>
    </w:p>
    <w:p w:rsidR="02818B17" w:rsidP="77533413" w:rsidRDefault="02818B17" w14:paraId="0B2FB905" w14:textId="5B114251">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2901446E" w14:textId="2377B0BE">
      <w:pPr>
        <w:spacing w:before="0" w:beforeAutospacing="off" w:after="0" w:afterAutospacing="off"/>
        <w:jc w:val="both"/>
      </w:pPr>
      <w:r w:rsidRPr="77533413" w:rsidR="02818B17">
        <w:rPr>
          <w:rFonts w:ascii="Calibri" w:hAnsi="Calibri" w:eastAsia="Calibri" w:cs="Calibri"/>
          <w:noProof w:val="0"/>
          <w:sz w:val="22"/>
          <w:szCs w:val="22"/>
          <w:lang w:val="ro"/>
        </w:rPr>
        <w:t>10.2 Prezenta metodologie intră în vigoare la data aprobării de către Managerul de proiect și poate fi modificată sau completată, dacă este necesar, prin decizia echipei de management, cu informarea Autorității de Management.</w:t>
      </w:r>
    </w:p>
    <w:p w:rsidR="02818B17" w:rsidP="77533413" w:rsidRDefault="02818B17" w14:paraId="189AC33C" w14:textId="440C5680">
      <w:pPr>
        <w:spacing w:before="0" w:beforeAutospacing="off" w:after="0" w:afterAutospacing="off"/>
        <w:jc w:val="both"/>
      </w:pPr>
      <w:r w:rsidRPr="77533413" w:rsidR="02818B17">
        <w:rPr>
          <w:rFonts w:ascii="Calibri" w:hAnsi="Calibri" w:eastAsia="Calibri" w:cs="Calibri"/>
          <w:noProof w:val="0"/>
          <w:sz w:val="22"/>
          <w:szCs w:val="22"/>
          <w:lang w:val="ro"/>
        </w:rPr>
        <w:t xml:space="preserve"> </w:t>
      </w:r>
    </w:p>
    <w:p w:rsidR="02818B17" w:rsidP="77533413" w:rsidRDefault="02818B17" w14:paraId="65CD7469" w14:textId="51C13B3A">
      <w:pPr>
        <w:spacing w:before="0" w:beforeAutospacing="off" w:after="0" w:afterAutospacing="off"/>
        <w:jc w:val="both"/>
      </w:pPr>
      <w:r w:rsidRPr="77533413" w:rsidR="02818B17">
        <w:rPr>
          <w:rFonts w:ascii="Calibri" w:hAnsi="Calibri" w:eastAsia="Calibri" w:cs="Calibri"/>
          <w:noProof w:val="0"/>
          <w:sz w:val="22"/>
          <w:szCs w:val="22"/>
          <w:lang w:val="ro"/>
        </w:rPr>
        <w:t>10.3 Orice interpretare sau aplicare a prevederilor acestei metodologii se va face în spiritul transparenței, egalității de șanse, integrității academice și a dezvoltării sustenabile, principii fundamentale ale proiectului.</w:t>
      </w:r>
    </w:p>
    <w:p w:rsidR="02818B17" w:rsidP="77533413" w:rsidRDefault="02818B17" w14:paraId="00EC9358" w14:textId="62A6F7BF">
      <w:pPr>
        <w:spacing w:before="0" w:beforeAutospacing="off" w:after="0" w:afterAutospacing="off"/>
      </w:pPr>
      <w:r w:rsidRPr="77533413" w:rsidR="02818B17">
        <w:rPr>
          <w:rFonts w:ascii="Calibri" w:hAnsi="Calibri" w:eastAsia="Calibri" w:cs="Calibri"/>
          <w:noProof w:val="0"/>
          <w:sz w:val="22"/>
          <w:szCs w:val="22"/>
          <w:lang w:val="ro"/>
        </w:rPr>
        <w:t xml:space="preserve"> </w:t>
      </w:r>
    </w:p>
    <w:p w:rsidR="02818B17" w:rsidP="77533413" w:rsidRDefault="02818B17" w14:paraId="4BB02240" w14:textId="07C6C7A4">
      <w:pPr>
        <w:spacing w:before="0" w:beforeAutospacing="off" w:after="0" w:afterAutospacing="off"/>
      </w:pPr>
      <w:r w:rsidRPr="77533413" w:rsidR="02818B17">
        <w:rPr>
          <w:rFonts w:ascii="Calibri" w:hAnsi="Calibri" w:eastAsia="Calibri" w:cs="Calibri"/>
          <w:noProof w:val="0"/>
          <w:sz w:val="22"/>
          <w:szCs w:val="22"/>
          <w:lang w:val="ro"/>
        </w:rPr>
        <w:t xml:space="preserve"> </w:t>
      </w:r>
    </w:p>
    <w:p w:rsidR="77533413" w:rsidP="77533413" w:rsidRDefault="77533413" w14:paraId="380468D8" w14:textId="45E117A8">
      <w:pPr>
        <w:spacing w:before="0" w:beforeAutospacing="off" w:after="0" w:afterAutospacing="off"/>
        <w:rPr>
          <w:rFonts w:ascii="Calibri" w:hAnsi="Calibri" w:eastAsia="Calibri" w:cs="Calibri"/>
          <w:noProof w:val="0"/>
          <w:sz w:val="22"/>
          <w:szCs w:val="22"/>
          <w:lang w:val="ro"/>
        </w:rPr>
      </w:pPr>
    </w:p>
    <w:p w:rsidR="0DE166C5" w:rsidP="77533413" w:rsidRDefault="0DE166C5" w14:paraId="290E1C38" w14:textId="3C9615D0">
      <w:pPr>
        <w:pStyle w:val="Normal"/>
      </w:pPr>
      <w:r w:rsidR="0DE166C5">
        <w:rPr/>
        <w:t xml:space="preserve"> </w:t>
      </w:r>
    </w:p>
    <w:p w:rsidR="0DE166C5" w:rsidP="77533413" w:rsidRDefault="0DE166C5" w14:paraId="1C532B2F" w14:textId="737A740B">
      <w:pPr>
        <w:pStyle w:val="Normal"/>
        <w:spacing w:before="0" w:beforeAutospacing="off" w:after="160" w:afterAutospacing="off" w:line="257" w:lineRule="auto"/>
        <w:rPr>
          <w:rFonts w:ascii="Calibri" w:hAnsi="Calibri" w:eastAsia="Calibri" w:cs="Calibri"/>
          <w:b w:val="1"/>
          <w:bCs w:val="1"/>
          <w:noProof w:val="0"/>
          <w:sz w:val="22"/>
          <w:szCs w:val="22"/>
          <w:lang w:val="ro"/>
        </w:rPr>
      </w:pPr>
      <w:r w:rsidR="0DE166C5">
        <w:rPr/>
        <w:t xml:space="preserve"> </w:t>
      </w:r>
    </w:p>
    <w:p w:rsidR="77533413" w:rsidP="77533413" w:rsidRDefault="77533413" w14:paraId="31D585D7" w14:textId="56B0F96A">
      <w:pPr>
        <w:pStyle w:val="Normal"/>
      </w:pPr>
    </w:p>
    <w:p w:rsidR="77533413" w:rsidRDefault="77533413" w14:paraId="2258082B" w14:textId="5BBA1B0A"/>
    <w:sectPr w:rsidRPr="00E65B53" w:rsidR="00C42D18" w:rsidSect="002328E1">
      <w:headerReference w:type="default" r:id="rId10"/>
      <w:footerReference w:type="default" r:id="rId11"/>
      <w:pgSz w:w="11906" w:h="16838" w:orient="portrait" w:code="9"/>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65835" w:rsidR="00AF0FEB" w:rsidP="00304C43" w:rsidRDefault="00AF0FEB" w14:paraId="4CE9BE64" w14:textId="77777777">
      <w:pPr>
        <w:spacing w:after="0" w:line="240" w:lineRule="auto"/>
      </w:pPr>
      <w:r w:rsidRPr="00065835">
        <w:separator/>
      </w:r>
    </w:p>
  </w:endnote>
  <w:endnote w:type="continuationSeparator" w:id="0">
    <w:p w:rsidRPr="00065835" w:rsidR="00AF0FEB" w:rsidP="00304C43" w:rsidRDefault="00AF0FEB" w14:paraId="4E585CEE" w14:textId="77777777">
      <w:pPr>
        <w:spacing w:after="0" w:line="240" w:lineRule="auto"/>
      </w:pPr>
      <w:r w:rsidRPr="00065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D27FF" w:rsidR="00853FD6" w:rsidP="00B87E79" w:rsidRDefault="00B87E79" w14:paraId="049F31CB" w14:textId="00BB3679">
    <w:pPr>
      <w:pStyle w:val="Footer"/>
      <w:tabs>
        <w:tab w:val="clear" w:pos="4680"/>
        <w:tab w:val="clear" w:pos="9360"/>
        <w:tab w:val="left" w:pos="2730"/>
      </w:tabs>
      <w:jc w:val="center"/>
      <w:rPr>
        <w:b/>
        <w:bCs/>
        <w:i/>
        <w:iCs/>
        <w:sz w:val="20"/>
        <w:szCs w:val="20"/>
      </w:rPr>
    </w:pPr>
    <w:sdt>
      <w:sdtPr>
        <w:id w:val="1728636285"/>
        <w:docPartObj>
          <w:docPartGallery w:val="Page Numbers (Top of Page)"/>
          <w:docPartUnique/>
        </w:docPartObj>
      </w:sdtPr>
      <w:sdtEndPr>
        <w:rPr>
          <w:sz w:val="18"/>
          <w:szCs w:val="18"/>
        </w:rPr>
      </w:sdtEndPr>
      <w:sdtContent>
        <w:r w:rsidRPr="003C533F">
          <w:rPr>
            <w:sz w:val="18"/>
            <w:szCs w:val="18"/>
          </w:rPr>
          <w:t xml:space="preserve">Pagina </w:t>
        </w:r>
        <w:r w:rsidRPr="003C533F">
          <w:rPr>
            <w:b/>
            <w:bCs/>
            <w:sz w:val="20"/>
            <w:szCs w:val="20"/>
          </w:rPr>
          <w:fldChar w:fldCharType="begin"/>
        </w:r>
        <w:r w:rsidRPr="003C533F">
          <w:rPr>
            <w:b/>
            <w:bCs/>
            <w:sz w:val="18"/>
            <w:szCs w:val="18"/>
          </w:rPr>
          <w:instrText xml:space="preserve"> PAGE </w:instrText>
        </w:r>
        <w:r w:rsidRPr="003C533F">
          <w:rPr>
            <w:b/>
            <w:bCs/>
            <w:sz w:val="20"/>
            <w:szCs w:val="20"/>
          </w:rPr>
          <w:fldChar w:fldCharType="separate"/>
        </w:r>
        <w:r>
          <w:rPr>
            <w:b/>
            <w:bCs/>
            <w:sz w:val="20"/>
            <w:szCs w:val="20"/>
          </w:rPr>
          <w:t>1</w:t>
        </w:r>
        <w:r w:rsidRPr="003C533F">
          <w:rPr>
            <w:b/>
            <w:bCs/>
            <w:sz w:val="20"/>
            <w:szCs w:val="20"/>
          </w:rPr>
          <w:fldChar w:fldCharType="end"/>
        </w:r>
        <w:r w:rsidRPr="003C533F">
          <w:rPr>
            <w:sz w:val="18"/>
            <w:szCs w:val="18"/>
          </w:rPr>
          <w:t xml:space="preserve"> din </w:t>
        </w:r>
        <w:r w:rsidRPr="003C533F">
          <w:rPr>
            <w:b/>
            <w:bCs/>
            <w:sz w:val="20"/>
            <w:szCs w:val="20"/>
          </w:rPr>
          <w:fldChar w:fldCharType="begin"/>
        </w:r>
        <w:r w:rsidRPr="003C533F">
          <w:rPr>
            <w:b/>
            <w:bCs/>
            <w:sz w:val="18"/>
            <w:szCs w:val="18"/>
          </w:rPr>
          <w:instrText xml:space="preserve"> NUMPAGES  </w:instrText>
        </w:r>
        <w:r w:rsidRPr="003C533F">
          <w:rPr>
            <w:b/>
            <w:bCs/>
            <w:sz w:val="20"/>
            <w:szCs w:val="20"/>
          </w:rPr>
          <w:fldChar w:fldCharType="separate"/>
        </w:r>
        <w:r>
          <w:rPr>
            <w:b/>
            <w:bCs/>
            <w:sz w:val="20"/>
            <w:szCs w:val="20"/>
          </w:rPr>
          <w:t>2</w:t>
        </w:r>
        <w:r w:rsidRPr="003C533F">
          <w:rPr>
            <w:b/>
            <w:bCs/>
            <w:sz w:val="20"/>
            <w:szCs w:val="20"/>
          </w:rPr>
          <w:fldChar w:fldCharType="end"/>
        </w:r>
      </w:sdtContent>
    </w:sdt>
    <w:r w:rsidRPr="006D27FF">
      <w:rPr>
        <w:rFonts w:ascii="Arial" w:hAnsi="Arial" w:cs="Arial"/>
        <w:noProof/>
        <w:sz w:val="20"/>
      </w:rPr>
      <w:t xml:space="preserve"> </w:t>
    </w:r>
    <w:r w:rsidRPr="006D27FF" w:rsidR="002328E1">
      <w:rPr>
        <w:rFonts w:ascii="Arial" w:hAnsi="Arial" w:cs="Arial"/>
        <w:noProof/>
        <w:sz w:val="20"/>
      </w:rPr>
      <w:drawing>
        <wp:anchor distT="0" distB="0" distL="114300" distR="114300" simplePos="0" relativeHeight="251662336" behindDoc="0" locked="0" layoutInCell="1" allowOverlap="1" wp14:anchorId="2066ACBC" wp14:editId="4BCF8E04">
          <wp:simplePos x="0" y="0"/>
          <wp:positionH relativeFrom="margin">
            <wp:align>right</wp:align>
          </wp:positionH>
          <wp:positionV relativeFrom="paragraph">
            <wp:posOffset>-370895</wp:posOffset>
          </wp:positionV>
          <wp:extent cx="704850" cy="669290"/>
          <wp:effectExtent l="0" t="0" r="0" b="0"/>
          <wp:wrapSquare wrapText="bothSides"/>
          <wp:docPr id="1561809274" name="Picture 1" descr="A logo with green leave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09274" name="Picture 1" descr="A logo with green leaves and arrow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4850" cy="669290"/>
                  </a:xfrm>
                  <a:prstGeom prst="rect">
                    <a:avLst/>
                  </a:prstGeom>
                </pic:spPr>
              </pic:pic>
            </a:graphicData>
          </a:graphic>
        </wp:anchor>
      </w:drawing>
    </w:r>
    <w:r w:rsidRPr="006D27FF" w:rsidR="002328E1">
      <w:rPr>
        <w:rFonts w:ascii="Arial" w:hAnsi="Arial" w:cs="Arial"/>
        <w:noProof/>
        <w:sz w:val="20"/>
      </w:rPr>
      <w:drawing>
        <wp:anchor distT="0" distB="0" distL="114300" distR="114300" simplePos="0" relativeHeight="251660288" behindDoc="1" locked="0" layoutInCell="1" allowOverlap="1" wp14:anchorId="474BEA15" wp14:editId="0ADE9E10">
          <wp:simplePos x="0" y="0"/>
          <wp:positionH relativeFrom="margin">
            <wp:align>left</wp:align>
          </wp:positionH>
          <wp:positionV relativeFrom="paragraph">
            <wp:posOffset>-393507</wp:posOffset>
          </wp:positionV>
          <wp:extent cx="1486601" cy="753047"/>
          <wp:effectExtent l="0" t="0" r="0" b="0"/>
          <wp:wrapSquare wrapText="bothSides"/>
          <wp:docPr id="22451315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13156" name="Picture 2"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86601" cy="7530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65835" w:rsidR="00AF0FEB" w:rsidP="00304C43" w:rsidRDefault="00AF0FEB" w14:paraId="4B0E830D" w14:textId="77777777">
      <w:pPr>
        <w:spacing w:after="0" w:line="240" w:lineRule="auto"/>
      </w:pPr>
      <w:bookmarkStart w:name="_Hlk192754086" w:id="0"/>
      <w:bookmarkEnd w:id="0"/>
      <w:r w:rsidRPr="00065835">
        <w:separator/>
      </w:r>
    </w:p>
  </w:footnote>
  <w:footnote w:type="continuationSeparator" w:id="0">
    <w:p w:rsidRPr="00065835" w:rsidR="00AF0FEB" w:rsidP="00304C43" w:rsidRDefault="00AF0FEB" w14:paraId="022E90C6" w14:textId="77777777">
      <w:pPr>
        <w:spacing w:after="0" w:line="240" w:lineRule="auto"/>
      </w:pPr>
      <w:r w:rsidRPr="00065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7479D" w:rsidR="002328E1" w:rsidP="002328E1" w:rsidRDefault="002328E1" w14:paraId="18D03586" w14:textId="23398E49">
    <w:pPr>
      <w:tabs>
        <w:tab w:val="left" w:pos="3465"/>
      </w:tabs>
      <w:spacing w:after="0"/>
    </w:pPr>
    <w:r w:rsidRPr="00320561">
      <w:rPr>
        <w:rFonts w:ascii="Trebuchet MS" w:hAnsi="Trebuchet MS"/>
        <w:noProof/>
        <w:sz w:val="28"/>
        <w:szCs w:val="28"/>
      </w:rPr>
      <w:drawing>
        <wp:anchor distT="0" distB="0" distL="114300" distR="114300" simplePos="0" relativeHeight="251661312" behindDoc="0" locked="0" layoutInCell="1" allowOverlap="1" wp14:anchorId="182F3147" wp14:editId="463A60F8">
          <wp:simplePos x="0" y="0"/>
          <wp:positionH relativeFrom="margin">
            <wp:align>right</wp:align>
          </wp:positionH>
          <wp:positionV relativeFrom="paragraph">
            <wp:posOffset>-197982</wp:posOffset>
          </wp:positionV>
          <wp:extent cx="727710" cy="731520"/>
          <wp:effectExtent l="0" t="0" r="0" b="0"/>
          <wp:wrapSquare wrapText="bothSides"/>
          <wp:docPr id="17" name="Picture 17"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5153" r="69586"/>
                  <a:stretch>
                    <a:fillRect/>
                  </a:stretch>
                </pic:blipFill>
                <pic:spPr bwMode="auto">
                  <a:xfrm>
                    <a:off x="0" y="0"/>
                    <a:ext cx="727710" cy="7315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0561" w:rsidR="0040786C">
      <w:rPr>
        <w:noProof/>
      </w:rPr>
      <w:drawing>
        <wp:anchor distT="0" distB="0" distL="114300" distR="114300" simplePos="0" relativeHeight="251659264" behindDoc="0" locked="0" layoutInCell="1" allowOverlap="1" wp14:anchorId="25DA448B" wp14:editId="187E6110">
          <wp:simplePos x="0" y="0"/>
          <wp:positionH relativeFrom="margin">
            <wp:align>left</wp:align>
          </wp:positionH>
          <wp:positionV relativeFrom="margin">
            <wp:posOffset>-699770</wp:posOffset>
          </wp:positionV>
          <wp:extent cx="2273935" cy="476250"/>
          <wp:effectExtent l="0" t="0" r="0"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93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3E7498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29fb6c88"/>
    <w:multiLevelType xmlns:w="http://schemas.openxmlformats.org/wordprocessingml/2006/main" w:val="hybridMultilevel"/>
    <w:lvl xmlns:w="http://schemas.openxmlformats.org/wordprocessingml/2006/main" w:ilvl="0">
      <w:start w:val="1"/>
      <w:numFmt w:val="bullet"/>
      <w:lvlText w:val="ü"/>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6140e2f"/>
    <w:multiLevelType xmlns:w="http://schemas.openxmlformats.org/wordprocessingml/2006/main" w:val="hybridMultilevel"/>
    <w:lvl xmlns:w="http://schemas.openxmlformats.org/wordprocessingml/2006/main" w:ilvl="0">
      <w:start w:val="1"/>
      <w:numFmt w:val="bullet"/>
      <w:lvlText w:val="ü"/>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2a42cf0"/>
    <w:multiLevelType xmlns:w="http://schemas.openxmlformats.org/wordprocessingml/2006/main" w:val="hybridMultilevel"/>
    <w:lvl xmlns:w="http://schemas.openxmlformats.org/wordprocessingml/2006/main" w:ilvl="0">
      <w:start w:val="1"/>
      <w:numFmt w:val="bullet"/>
      <w:lvlText w:val="ü"/>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feeb679"/>
    <w:multiLevelType xmlns:w="http://schemas.openxmlformats.org/wordprocessingml/2006/main" w:val="hybridMultilevel"/>
    <w:lvl xmlns:w="http://schemas.openxmlformats.org/wordprocessingml/2006/main" w:ilvl="0">
      <w:start w:val="1"/>
      <w:numFmt w:val="bullet"/>
      <w:lvlText w:val="ü"/>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b3e7"/>
    <w:multiLevelType xmlns:w="http://schemas.openxmlformats.org/wordprocessingml/2006/main" w:val="hybridMultilevel"/>
    <w:lvl xmlns:w="http://schemas.openxmlformats.org/wordprocessingml/2006/main" w:ilvl="0">
      <w:start w:val="1"/>
      <w:numFmt w:val="bullet"/>
      <w:lvlText w:val="ü"/>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AE0D5E"/>
    <w:multiLevelType w:val="hybridMultilevel"/>
    <w:tmpl w:val="01848C0A"/>
    <w:lvl w:ilvl="0">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27371371"/>
    <w:multiLevelType w:val="hybridMultilevel"/>
    <w:tmpl w:val="0C72DFFA"/>
    <w:lvl w:ilvl="0">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 w15:restartNumberingAfterBreak="0">
    <w:nsid w:val="2C311DC2"/>
    <w:multiLevelType w:val="hybridMultilevel"/>
    <w:tmpl w:val="C4F481A8"/>
    <w:lvl w:ilvl="0">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 w15:restartNumberingAfterBreak="0">
    <w:nsid w:val="3C147A79"/>
    <w:multiLevelType w:val="hybridMultilevel"/>
    <w:tmpl w:val="75A2418A"/>
    <w:lvl w:ilvl="0">
      <w:start w:val="1"/>
      <w:numFmt w:val="bullet"/>
      <w:lvlText w:val=""/>
      <w:lvlJc w:val="left"/>
      <w:pPr>
        <w:ind w:left="1446" w:hanging="360"/>
      </w:pPr>
      <w:rPr>
        <w:rFonts w:hint="default" w:ascii="Symbol" w:hAnsi="Symbol"/>
      </w:rPr>
    </w:lvl>
    <w:lvl w:ilvl="1" w:tentative="1">
      <w:start w:val="1"/>
      <w:numFmt w:val="bullet"/>
      <w:lvlText w:val="o"/>
      <w:lvlJc w:val="left"/>
      <w:pPr>
        <w:ind w:left="2166" w:hanging="360"/>
      </w:pPr>
      <w:rPr>
        <w:rFonts w:hint="default" w:ascii="Courier New" w:hAnsi="Courier New"/>
      </w:rPr>
    </w:lvl>
    <w:lvl w:ilvl="2" w:tentative="1">
      <w:start w:val="1"/>
      <w:numFmt w:val="bullet"/>
      <w:lvlText w:val=""/>
      <w:lvlJc w:val="left"/>
      <w:pPr>
        <w:ind w:left="2886" w:hanging="360"/>
      </w:pPr>
      <w:rPr>
        <w:rFonts w:hint="default" w:ascii="Wingdings" w:hAnsi="Wingdings"/>
      </w:rPr>
    </w:lvl>
    <w:lvl w:ilvl="3" w:tentative="1">
      <w:start w:val="1"/>
      <w:numFmt w:val="bullet"/>
      <w:lvlText w:val=""/>
      <w:lvlJc w:val="left"/>
      <w:pPr>
        <w:ind w:left="3606" w:hanging="360"/>
      </w:pPr>
      <w:rPr>
        <w:rFonts w:hint="default" w:ascii="Symbol" w:hAnsi="Symbol"/>
      </w:rPr>
    </w:lvl>
    <w:lvl w:ilvl="4" w:tentative="1">
      <w:start w:val="1"/>
      <w:numFmt w:val="bullet"/>
      <w:lvlText w:val="o"/>
      <w:lvlJc w:val="left"/>
      <w:pPr>
        <w:ind w:left="4326" w:hanging="360"/>
      </w:pPr>
      <w:rPr>
        <w:rFonts w:hint="default" w:ascii="Courier New" w:hAnsi="Courier New"/>
      </w:rPr>
    </w:lvl>
    <w:lvl w:ilvl="5" w:tentative="1">
      <w:start w:val="1"/>
      <w:numFmt w:val="bullet"/>
      <w:lvlText w:val=""/>
      <w:lvlJc w:val="left"/>
      <w:pPr>
        <w:ind w:left="5046" w:hanging="360"/>
      </w:pPr>
      <w:rPr>
        <w:rFonts w:hint="default" w:ascii="Wingdings" w:hAnsi="Wingdings"/>
      </w:rPr>
    </w:lvl>
    <w:lvl w:ilvl="6" w:tentative="1">
      <w:start w:val="1"/>
      <w:numFmt w:val="bullet"/>
      <w:lvlText w:val=""/>
      <w:lvlJc w:val="left"/>
      <w:pPr>
        <w:ind w:left="5766" w:hanging="360"/>
      </w:pPr>
      <w:rPr>
        <w:rFonts w:hint="default" w:ascii="Symbol" w:hAnsi="Symbol"/>
      </w:rPr>
    </w:lvl>
    <w:lvl w:ilvl="7" w:tentative="1">
      <w:start w:val="1"/>
      <w:numFmt w:val="bullet"/>
      <w:lvlText w:val="o"/>
      <w:lvlJc w:val="left"/>
      <w:pPr>
        <w:ind w:left="6486" w:hanging="360"/>
      </w:pPr>
      <w:rPr>
        <w:rFonts w:hint="default" w:ascii="Courier New" w:hAnsi="Courier New"/>
      </w:rPr>
    </w:lvl>
    <w:lvl w:ilvl="8" w:tentative="1">
      <w:start w:val="1"/>
      <w:numFmt w:val="bullet"/>
      <w:lvlText w:val=""/>
      <w:lvlJc w:val="left"/>
      <w:pPr>
        <w:ind w:left="7206" w:hanging="360"/>
      </w:pPr>
      <w:rPr>
        <w:rFonts w:hint="default" w:ascii="Wingdings" w:hAnsi="Wingdings"/>
      </w:rPr>
    </w:lvl>
  </w:abstractNum>
  <w:abstractNum w:abstractNumId="4" w15:restartNumberingAfterBreak="0">
    <w:nsid w:val="6E034177"/>
    <w:multiLevelType w:val="hybridMultilevel"/>
    <w:tmpl w:val="48A8C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0">
    <w:abstractNumId w:val="9"/>
  </w:num>
  <w:num w:numId="9">
    <w:abstractNumId w:val="8"/>
  </w:num>
  <w:num w:numId="8">
    <w:abstractNumId w:val="7"/>
  </w:num>
  <w:num w:numId="7">
    <w:abstractNumId w:val="6"/>
  </w:num>
  <w:num w:numId="6">
    <w:abstractNumId w:val="5"/>
  </w:num>
  <w:num w:numId="1" w16cid:durableId="1877084863">
    <w:abstractNumId w:val="4"/>
  </w:num>
  <w:num w:numId="2" w16cid:durableId="2130198169">
    <w:abstractNumId w:val="2"/>
  </w:num>
  <w:num w:numId="3" w16cid:durableId="2074812845">
    <w:abstractNumId w:val="1"/>
  </w:num>
  <w:num w:numId="4" w16cid:durableId="1329014813">
    <w:abstractNumId w:val="0"/>
  </w:num>
  <w:num w:numId="5" w16cid:durableId="81456335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BF"/>
    <w:rsid w:val="00026EBE"/>
    <w:rsid w:val="000316BE"/>
    <w:rsid w:val="00065835"/>
    <w:rsid w:val="00072085"/>
    <w:rsid w:val="00093B83"/>
    <w:rsid w:val="00094086"/>
    <w:rsid w:val="000C26EE"/>
    <w:rsid w:val="000E08CE"/>
    <w:rsid w:val="000E0FC5"/>
    <w:rsid w:val="00164B74"/>
    <w:rsid w:val="001F5EA7"/>
    <w:rsid w:val="00222725"/>
    <w:rsid w:val="002328E1"/>
    <w:rsid w:val="0027479D"/>
    <w:rsid w:val="00291CF1"/>
    <w:rsid w:val="002C03AD"/>
    <w:rsid w:val="00304C43"/>
    <w:rsid w:val="0031515E"/>
    <w:rsid w:val="00320561"/>
    <w:rsid w:val="003216F6"/>
    <w:rsid w:val="0038030E"/>
    <w:rsid w:val="003B7CAA"/>
    <w:rsid w:val="0040786C"/>
    <w:rsid w:val="00414CA5"/>
    <w:rsid w:val="0044508E"/>
    <w:rsid w:val="00462536"/>
    <w:rsid w:val="004A3512"/>
    <w:rsid w:val="004A4A5C"/>
    <w:rsid w:val="004D06E8"/>
    <w:rsid w:val="004F21EA"/>
    <w:rsid w:val="00512865"/>
    <w:rsid w:val="00515BF9"/>
    <w:rsid w:val="00594053"/>
    <w:rsid w:val="005E0170"/>
    <w:rsid w:val="005E64DE"/>
    <w:rsid w:val="00651243"/>
    <w:rsid w:val="00652FBB"/>
    <w:rsid w:val="0066077C"/>
    <w:rsid w:val="006A22C9"/>
    <w:rsid w:val="006C6BBE"/>
    <w:rsid w:val="006D27FF"/>
    <w:rsid w:val="006E741C"/>
    <w:rsid w:val="007019D4"/>
    <w:rsid w:val="007431EE"/>
    <w:rsid w:val="0077095A"/>
    <w:rsid w:val="00786B1B"/>
    <w:rsid w:val="007B333D"/>
    <w:rsid w:val="007B6083"/>
    <w:rsid w:val="007C16B5"/>
    <w:rsid w:val="007D266F"/>
    <w:rsid w:val="00807BDD"/>
    <w:rsid w:val="00853FD6"/>
    <w:rsid w:val="008D3283"/>
    <w:rsid w:val="008E237B"/>
    <w:rsid w:val="00917C3A"/>
    <w:rsid w:val="009239EF"/>
    <w:rsid w:val="00945CA0"/>
    <w:rsid w:val="00955477"/>
    <w:rsid w:val="00982E10"/>
    <w:rsid w:val="009B020A"/>
    <w:rsid w:val="00A732BF"/>
    <w:rsid w:val="00A77FEB"/>
    <w:rsid w:val="00A92D03"/>
    <w:rsid w:val="00AF0FEB"/>
    <w:rsid w:val="00B00D78"/>
    <w:rsid w:val="00B02D3C"/>
    <w:rsid w:val="00B07953"/>
    <w:rsid w:val="00B41822"/>
    <w:rsid w:val="00B73E6A"/>
    <w:rsid w:val="00B87E79"/>
    <w:rsid w:val="00BC0B2B"/>
    <w:rsid w:val="00BD2449"/>
    <w:rsid w:val="00BD3C8E"/>
    <w:rsid w:val="00C31AE4"/>
    <w:rsid w:val="00C42D18"/>
    <w:rsid w:val="00C573BF"/>
    <w:rsid w:val="00CC6A0A"/>
    <w:rsid w:val="00CF61B4"/>
    <w:rsid w:val="00DC7DAC"/>
    <w:rsid w:val="00DD65BA"/>
    <w:rsid w:val="00DD7DAE"/>
    <w:rsid w:val="00E23685"/>
    <w:rsid w:val="00E5457E"/>
    <w:rsid w:val="00E65B53"/>
    <w:rsid w:val="00E723C8"/>
    <w:rsid w:val="00E8372F"/>
    <w:rsid w:val="00E9285A"/>
    <w:rsid w:val="00EA7B1C"/>
    <w:rsid w:val="00EE7A9E"/>
    <w:rsid w:val="00F10F95"/>
    <w:rsid w:val="00F22038"/>
    <w:rsid w:val="00FD4B81"/>
    <w:rsid w:val="022B77F7"/>
    <w:rsid w:val="02818B17"/>
    <w:rsid w:val="06197AA9"/>
    <w:rsid w:val="0664B2D1"/>
    <w:rsid w:val="0DE166C5"/>
    <w:rsid w:val="0E417F4C"/>
    <w:rsid w:val="0E7E5DFD"/>
    <w:rsid w:val="15961912"/>
    <w:rsid w:val="1F4E7A0C"/>
    <w:rsid w:val="21039B48"/>
    <w:rsid w:val="21729325"/>
    <w:rsid w:val="2D2CBDB8"/>
    <w:rsid w:val="33E74989"/>
    <w:rsid w:val="356DAB89"/>
    <w:rsid w:val="373A8DC9"/>
    <w:rsid w:val="3EBA1109"/>
    <w:rsid w:val="3F0A9F33"/>
    <w:rsid w:val="41009764"/>
    <w:rsid w:val="44864820"/>
    <w:rsid w:val="46DA3DB6"/>
    <w:rsid w:val="47468816"/>
    <w:rsid w:val="480BC4EA"/>
    <w:rsid w:val="4DBD96FD"/>
    <w:rsid w:val="51668B9F"/>
    <w:rsid w:val="51742A4E"/>
    <w:rsid w:val="53593B64"/>
    <w:rsid w:val="584719B7"/>
    <w:rsid w:val="5D261797"/>
    <w:rsid w:val="6271332C"/>
    <w:rsid w:val="6537B089"/>
    <w:rsid w:val="6815195B"/>
    <w:rsid w:val="719DE35B"/>
    <w:rsid w:val="72E5AC20"/>
    <w:rsid w:val="76057EF8"/>
    <w:rsid w:val="77533413"/>
    <w:rsid w:val="7CBEF999"/>
    <w:rsid w:val="7CEE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CE1EE"/>
  <w15:chartTrackingRefBased/>
  <w15:docId w15:val="{920D191F-AA89-414A-A0CD-B8D2A5AED2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ro-RO"/>
    </w:rPr>
  </w:style>
  <w:style w:type="paragraph" w:styleId="Heading1">
    <w:name w:val="heading 1"/>
    <w:basedOn w:val="Normal"/>
    <w:next w:val="Normal"/>
    <w:link w:val="Heading1Char"/>
    <w:uiPriority w:val="9"/>
    <w:qFormat/>
    <w:rsid w:val="00DD7DAE"/>
    <w:pPr>
      <w:keepNext/>
      <w:keepLines/>
      <w:spacing w:before="480" w:after="0" w:line="276" w:lineRule="auto"/>
      <w:outlineLvl w:val="0"/>
    </w:pPr>
    <w:rPr>
      <w:rFonts w:asciiTheme="majorHAnsi" w:hAnsiTheme="majorHAnsi" w:eastAsiaTheme="majorEastAsia"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DD7DAE"/>
    <w:pPr>
      <w:keepNext/>
      <w:keepLines/>
      <w:spacing w:before="200" w:after="0" w:line="276" w:lineRule="auto"/>
      <w:outlineLvl w:val="1"/>
    </w:pPr>
    <w:rPr>
      <w:rFonts w:asciiTheme="majorHAnsi" w:hAnsiTheme="majorHAnsi" w:eastAsiaTheme="majorEastAsia" w:cstheme="majorBidi"/>
      <w:b/>
      <w:bCs/>
      <w:color w:val="5B9BD5" w:themeColor="accent1"/>
      <w:sz w:val="26"/>
      <w:szCs w:val="26"/>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04C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4C43"/>
  </w:style>
  <w:style w:type="paragraph" w:styleId="Footer">
    <w:name w:val="footer"/>
    <w:basedOn w:val="Normal"/>
    <w:link w:val="FooterChar"/>
    <w:uiPriority w:val="99"/>
    <w:unhideWhenUsed/>
    <w:rsid w:val="00304C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4C43"/>
  </w:style>
  <w:style w:type="table" w:styleId="TableGrid">
    <w:name w:val="Table Grid"/>
    <w:basedOn w:val="TableNormal"/>
    <w:uiPriority w:val="39"/>
    <w:rsid w:val="00304C43"/>
    <w:pPr>
      <w:spacing w:after="0" w:line="240" w:lineRule="auto"/>
    </w:pPr>
    <w:rPr>
      <w:rFonts w:ascii="Calibri Light" w:hAnsi="Calibri Light"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92D03"/>
  </w:style>
  <w:style w:type="paragraph" w:styleId="paragraph" w:customStyle="1">
    <w:name w:val="paragraph"/>
    <w:basedOn w:val="Normal"/>
    <w:rsid w:val="00EA7B1C"/>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A7B1C"/>
  </w:style>
  <w:style w:type="paragraph" w:styleId="ListParagraph">
    <w:name w:val="List Paragraph"/>
    <w:basedOn w:val="Normal"/>
    <w:uiPriority w:val="34"/>
    <w:qFormat/>
    <w:rsid w:val="000E0FC5"/>
    <w:pPr>
      <w:spacing w:after="120" w:line="264" w:lineRule="auto"/>
      <w:ind w:left="720"/>
      <w:contextualSpacing/>
    </w:pPr>
    <w:rPr>
      <w:rFonts w:eastAsiaTheme="minorEastAsia"/>
      <w:sz w:val="20"/>
      <w:szCs w:val="20"/>
    </w:rPr>
  </w:style>
  <w:style w:type="character" w:styleId="Heading1Char" w:customStyle="1">
    <w:name w:val="Heading 1 Char"/>
    <w:basedOn w:val="DefaultParagraphFont"/>
    <w:link w:val="Heading1"/>
    <w:uiPriority w:val="9"/>
    <w:rsid w:val="00DD7DAE"/>
    <w:rPr>
      <w:rFonts w:asciiTheme="majorHAnsi" w:hAnsiTheme="majorHAnsi" w:eastAsiaTheme="majorEastAsia" w:cstheme="majorBidi"/>
      <w:b/>
      <w:bCs/>
      <w:color w:val="2E74B5" w:themeColor="accent1" w:themeShade="BF"/>
      <w:sz w:val="28"/>
      <w:szCs w:val="28"/>
    </w:rPr>
  </w:style>
  <w:style w:type="character" w:styleId="Heading2Char" w:customStyle="1">
    <w:name w:val="Heading 2 Char"/>
    <w:basedOn w:val="DefaultParagraphFont"/>
    <w:link w:val="Heading2"/>
    <w:uiPriority w:val="9"/>
    <w:rsid w:val="00DD7DAE"/>
    <w:rPr>
      <w:rFonts w:asciiTheme="majorHAnsi" w:hAnsiTheme="majorHAnsi" w:eastAsiaTheme="majorEastAsia" w:cstheme="majorBidi"/>
      <w:b/>
      <w:bCs/>
      <w:color w:val="5B9BD5" w:themeColor="accent1"/>
      <w:sz w:val="26"/>
      <w:szCs w:val="26"/>
    </w:rPr>
  </w:style>
  <w:style w:type="paragraph" w:styleId="BodyText">
    <w:name w:val="Body Text"/>
    <w:basedOn w:val="Normal"/>
    <w:link w:val="BodyTextChar"/>
    <w:uiPriority w:val="1"/>
    <w:qFormat/>
    <w:rsid w:val="00C42D18"/>
    <w:pPr>
      <w:widowControl w:val="0"/>
      <w:autoSpaceDE w:val="0"/>
      <w:autoSpaceDN w:val="0"/>
      <w:spacing w:after="0" w:line="240" w:lineRule="auto"/>
      <w:ind w:left="536"/>
    </w:pPr>
    <w:rPr>
      <w:rFonts w:ascii="Trebuchet MS" w:hAnsi="Trebuchet MS" w:eastAsia="Trebuchet MS" w:cs="Trebuchet MS"/>
      <w:lang w:eastAsia="ro-RO" w:bidi="ro-RO"/>
    </w:rPr>
  </w:style>
  <w:style w:type="character" w:styleId="BodyTextChar" w:customStyle="1">
    <w:name w:val="Body Text Char"/>
    <w:basedOn w:val="DefaultParagraphFont"/>
    <w:link w:val="BodyText"/>
    <w:uiPriority w:val="1"/>
    <w:rsid w:val="00C42D18"/>
    <w:rPr>
      <w:rFonts w:ascii="Trebuchet MS" w:hAnsi="Trebuchet MS" w:eastAsia="Trebuchet MS" w:cs="Trebuchet MS"/>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11332">
      <w:bodyDiv w:val="1"/>
      <w:marLeft w:val="0"/>
      <w:marRight w:val="0"/>
      <w:marTop w:val="0"/>
      <w:marBottom w:val="0"/>
      <w:divBdr>
        <w:top w:val="none" w:sz="0" w:space="0" w:color="auto"/>
        <w:left w:val="none" w:sz="0" w:space="0" w:color="auto"/>
        <w:bottom w:val="none" w:sz="0" w:space="0" w:color="auto"/>
        <w:right w:val="none" w:sz="0" w:space="0" w:color="auto"/>
      </w:divBdr>
      <w:divsChild>
        <w:div w:id="171799742">
          <w:marLeft w:val="0"/>
          <w:marRight w:val="0"/>
          <w:marTop w:val="0"/>
          <w:marBottom w:val="0"/>
          <w:divBdr>
            <w:top w:val="none" w:sz="0" w:space="0" w:color="auto"/>
            <w:left w:val="none" w:sz="0" w:space="0" w:color="auto"/>
            <w:bottom w:val="none" w:sz="0" w:space="0" w:color="auto"/>
            <w:right w:val="none" w:sz="0" w:space="0" w:color="auto"/>
          </w:divBdr>
        </w:div>
        <w:div w:id="1256981149">
          <w:marLeft w:val="0"/>
          <w:marRight w:val="0"/>
          <w:marTop w:val="0"/>
          <w:marBottom w:val="0"/>
          <w:divBdr>
            <w:top w:val="none" w:sz="0" w:space="0" w:color="auto"/>
            <w:left w:val="none" w:sz="0" w:space="0" w:color="auto"/>
            <w:bottom w:val="none" w:sz="0" w:space="0" w:color="auto"/>
            <w:right w:val="none" w:sz="0" w:space="0" w:color="auto"/>
          </w:divBdr>
        </w:div>
        <w:div w:id="1396002973">
          <w:marLeft w:val="0"/>
          <w:marRight w:val="0"/>
          <w:marTop w:val="0"/>
          <w:marBottom w:val="0"/>
          <w:divBdr>
            <w:top w:val="none" w:sz="0" w:space="0" w:color="auto"/>
            <w:left w:val="none" w:sz="0" w:space="0" w:color="auto"/>
            <w:bottom w:val="none" w:sz="0" w:space="0" w:color="auto"/>
            <w:right w:val="none" w:sz="0" w:space="0" w:color="auto"/>
          </w:divBdr>
        </w:div>
        <w:div w:id="90888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3363DC1D53F48A5AC587EFF93B937" ma:contentTypeVersion="8" ma:contentTypeDescription="Create a new document." ma:contentTypeScope="" ma:versionID="8fe216769a1a30458492afc4486fa108">
  <xsd:schema xmlns:xsd="http://www.w3.org/2001/XMLSchema" xmlns:xs="http://www.w3.org/2001/XMLSchema" xmlns:p="http://schemas.microsoft.com/office/2006/metadata/properties" xmlns:ns2="66b6e9eb-5b0a-4c7e-b48e-95ee2978877e" targetNamespace="http://schemas.microsoft.com/office/2006/metadata/properties" ma:root="true" ma:fieldsID="cb502aabaffe91690a476633fed78a46" ns2:_="">
    <xsd:import namespace="66b6e9eb-5b0a-4c7e-b48e-95ee29788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6e9eb-5b0a-4c7e-b48e-95ee29788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8ACF0-6E8B-4855-B42F-EB506AE845F7}">
  <ds:schemaRefs>
    <ds:schemaRef ds:uri="http://schemas.microsoft.com/sharepoint/v3/contenttype/forms"/>
  </ds:schemaRefs>
</ds:datastoreItem>
</file>

<file path=customXml/itemProps2.xml><?xml version="1.0" encoding="utf-8"?>
<ds:datastoreItem xmlns:ds="http://schemas.openxmlformats.org/officeDocument/2006/customXml" ds:itemID="{B38E8975-76EF-4217-89E6-DEE24F1B58EC}"/>
</file>

<file path=customXml/itemProps3.xml><?xml version="1.0" encoding="utf-8"?>
<ds:datastoreItem xmlns:ds="http://schemas.openxmlformats.org/officeDocument/2006/customXml" ds:itemID="{D7264445-4BB2-4816-B0E0-44B8E0115052}">
  <ds:schemaRefs>
    <ds:schemaRef ds:uri="http://schemas.microsoft.com/office/2006/metadata/properties"/>
    <ds:schemaRef ds:uri="http://schemas.microsoft.com/office/infopath/2007/PartnerControls"/>
    <ds:schemaRef ds:uri="97ca213f-6738-4c4a-b9e3-12488dbd3b6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Iuliana Aluas</dc:creator>
  <keywords/>
  <dc:description/>
  <lastModifiedBy>Ioana-Mihaela Bucur</lastModifiedBy>
  <revision>29</revision>
  <dcterms:created xsi:type="dcterms:W3CDTF">2025-09-25T14:21:00.0000000Z</dcterms:created>
  <dcterms:modified xsi:type="dcterms:W3CDTF">2025-11-03T07:37:39.6121344Z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0x010100E6C3363DC1D53F48A5AC587EFF93B937</vt:lpwstr>
  </property>
</Properties>
</file>